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plānu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2.6. pasākuma plānotā rezultatīvā rādītāja redakciju, dzēšot vārdus "Pašvaldību prakses maiņa". Likuma grozījumi paši par sevi nenodrošinās noturīgas jaunas prakses izveidi, vienlaicīgi pašvaldību prakses maiņa ir grūti izmērāms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grozījumi Bērnu tiesību aizsardzības likuma 58. pantā, kas nosaka skaidru rīcības algoritmu pašvaldībās, kad to rīcībā ir informācija, kas liecina par to, ka bērna uzvedība var novest pie prettiesiskas rīcības. Atbilstoša atbalsta un palīdzības pakalpojumu sniegšana bērnam un viņa likumiskajiem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Renemane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17.03.2025.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17.03.2025.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