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28. janvāra noteikumos Nr. 64 "Kārtība, kādā atbrīvo no dabas resursu nodokļa samaksas par videi kaitīgām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5. pielikuma  3.1., 3.1.1., 3.1.2., 3.1.3., 3.1.4., 3.1.5., 3.2. un 3.3. apakšpunktu aizpilda, sākot ar 2028. gadā iesniedzamo pārskatu par 2027. gadu. 2027. gadā iesniedz pārskatu par 2026. gadu atbilstoši kārtībai, kas bija spēkā līdz grozījumu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projekta atbilstību Eiropas Parlamenta un Padomes 2023. gada 12. jūlija Regulai (ES) 2023/1542 par baterijām un bateriju atkritumiem, ar ko groza Direktīvu 2008/98/EK un Regulu (ES) 2019/1020 un atceļ Direktīvu 2006/66/EK (turpmāk - Regula 2023/1542), ņemot vērā tās 76. panta 1. punkta 3. daļu un Komisijas 13. novembra 2025. gada Īstenošanas regulai (ES) 2025/2289, ar ko nosaka noteikumus par to, kā attiecībā uz datu ziņošanas formātu, kā arī bateriju atkritumu savākšanas un apstrādes novērtēšanas metodēm un darbības nosacījumiem piemērot Eiropas Parlamenta un Padomes Regulu (ES) 2023/1542 (turpmāk - Regula 2025/2289). Proti, lūdzam izvērtēt un skaidrot, kā tiks nodrošinātas dalībvalsts saistības, ņemot vērā, ka "</w:t>
            </w:r>
            <w:r w:rsidR="00000000" w:rsidRPr="00000000" w:rsidDel="00000000">
              <w:rPr>
                <w:i w:val="1"/>
                <w:u w:val="single"/>
                <w:rtl w:val="0"/>
              </w:rPr>
              <w:t xml:space="preserve">Pirmais pārskata periods sākas pirmajā pilnajā kalendārajā gadā</w:t>
            </w:r>
            <w:r w:rsidR="00000000" w:rsidRPr="00000000" w:rsidDel="00000000">
              <w:rPr>
                <w:i w:val="1"/>
                <w:rtl w:val="0"/>
              </w:rPr>
              <w:t xml:space="preserve"> pēc tam, kad saskaņā ar 5. punktu ir stājies spēkā īstenošanas akts, kas nosaka formātu, kādā tiek ziņots Komisijai</w:t>
            </w:r>
            <w:r w:rsidR="00000000" w:rsidRPr="00000000" w:rsidDel="00000000">
              <w:rPr>
                <w:rtl w:val="0"/>
              </w:rPr>
              <w:t xml:space="preserve">.", nepieciešamības gadījumā precizējot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 2025/2289 ir stājusies spēkā 2025. gadā, attiecīgi, pirmais pārskata periods, par kur, ievērojot nosacījumus un formātus, kas izriet no regulas 2023/1542 un regulas 2025/2289, jāziņo, piemēram, savākto bateriju atkritumu daudzums saskaņā ar Regulas 2023/1542 59., 60. un 61. pantu (daļēji ieviesti projekta 1. pielikumā), ir 2026. gads. Taču projekts paredz, ka ziņošana par 2026. gadu jāveic atbilstoši kārtībai, kas bija spēkā līdz grozījumu veikšanai, kas neatbilst Regulā 2023/1542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Regulas 2023/1542 XII pielikuma B daļas ieviešanu projekta pielikuma 3.2. apakšpunktā. Proti, atbilstoši minētajai regulas vienībai ne vēlāk kā 2025. gada 31. decembrī reciklēšanā sasniedz vismaz 75 % no svina–skābes bateriju vidējās masas, bet projekta 1. pielikuma 3.2. apakšpunkts nosaka svina- skābes bateriju atkritumu pārstrādes apjomu (%)  tikai no 2027. gada, papildus neskaidrojot nosacījumus attiecībā uz laika periodu līdz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 ir tieši piemērojama, saprotams, ka uz laika periodu līdz 2027. gadam tiek tieši piemēroti regulas nosacījumi, ko lūdzam skaidrot anotācijā, kā arī aicinām projektā nepieciešamības gadījumā atsaukties uz regulu, lai tiesību normu adresātiem nodrošinātu pilnīgu izpratni visiem ar projektu saistītajiem nosacījumiem. Līdzīgi vēršam uzmanību arī uz pēdējiem projekta 1. pielikuma 3.1. apakšpunkta precizējumiem.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5. pielikuma  3.1., 3.1.1., 3.1.2., 3.1.3., 3.1.4., 3.1.5., 3.2. un 3.3. apakšpunktu aizpilda, sākot ar 2028. gadā iesniedzamo pārskatu par 2027. gadu. 2027. gadā iesniedz pārskatu par 2026. gadu atbilstoši kārtībai, kas bija spēkā līdz grozījumu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projekta 11. punktu, ņemot vērā, ka projektu normas ir jāpilda, jāievēro v.tml., nevis jāaizpilda. Konkrētajā situācijā tiek aizpildītas tabulas, kuras saistītas ar attiecīgajām projekta vienībām, bet ne pašas projekta vienības.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31.03.2026.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31.03.2026.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Atzinumi_25-TA-1093.docx</dc:title>
</cp:coreProperties>
</file>

<file path=docProps/custom.xml><?xml version="1.0" encoding="utf-8"?>
<Properties xmlns="http://schemas.openxmlformats.org/officeDocument/2006/custom-properties" xmlns:vt="http://schemas.openxmlformats.org/officeDocument/2006/docPropsVTypes"/>
</file>