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Darba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 nodaļu ar 9</w:t>
            </w:r>
            <w:r w:rsidR="00000000" w:rsidRPr="00000000" w:rsidDel="00000000">
              <w:rPr>
                <w:vertAlign w:val="superscript"/>
                <w:rtl w:val="0"/>
              </w:rPr>
              <w:t xml:space="preserve">1</w:t>
            </w:r>
            <w:r w:rsidR="00000000" w:rsidRPr="00000000" w:rsidDel="00000000">
              <w:rPr>
                <w:rtl w:val="0"/>
              </w:rPr>
              <w:t xml:space="preserve">. pantu šādā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Informēšana par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īsteno Eiropas Parlamenta un Padomes 2024. gada 13. jūnija regulas 2024/1689, ar ko nosaka saskaņotas normas mākslīgā intelekta jomā un groza Regulas (EK) Nr. 300/2008, (ES) Nr. 167/2013, (ES) Nr. 168/2013, (ES) 2018/858, (ES) 2018/1139 un (ES) 2019/2144 un Direktīvas 2014/90/ES, (ES) 2016/797 un (ES) 2020/1828, 26. panta septītajā daļā noteikto pienākumu, rakstveidā sniedzot atbilstošu informāciju darbinieku pārstāvjiem, kā arī ikvienam darbiniekam, kuru skar augsta riska mākslīgā intelekta sistēmas ieviešana un lietošana.”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1.pantā Darba likuma 9</w:t>
            </w:r>
            <w:r w:rsidR="00000000" w:rsidRPr="00000000" w:rsidDel="00000000">
              <w:rPr>
                <w:vertAlign w:val="superscript"/>
                <w:rtl w:val="0"/>
              </w:rPr>
              <w:t xml:space="preserve">1</w:t>
            </w:r>
            <w:r w:rsidR="00000000" w:rsidRPr="00000000" w:rsidDel="00000000">
              <w:rPr>
                <w:rtl w:val="0"/>
              </w:rPr>
              <w:t xml:space="preserve">. panta nosaukumu ar vārdiem “augsta riska”, lai panāktu tiesisko noteiktību un Darba likuma grozījumu tvēruma atbilstību MI aktam.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Informēšana par augsta riska mākslīgā intelekta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īsteno Eiropas Parlamenta un Padomes 2024. gada 13. jūnija regulas 2024/1689, ar ko nosaka saskaņotas normas mākslīgā intelekta jomā un groza Regulas (EK) Nr. 300/2008, (ES) Nr. 167/2013, (ES) Nr. 168/2013, (ES) 2018/858, (ES) 2018/1139 un (ES) 2019/2144 un Direktīvas 2014/90/ES, (ES) 2016/797 un (ES) 2020/1828, 26. panta septītajā daļā noteikto pienākumu, rakstveidā sniedzot atbilstošu informāciju darbinieku pārstāvjiem, kā arī ikvienam darbiniekam, kuru skar augsta riska mākslīgā intelekta sistēmas ieviešana un lietošana.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Igaune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5.sadaļas “Tiesību akta projekta atbilstība Latvijas Republikas starptautiskajām saistībām” 5.1. apakšpunktu “Saistības pret Eiropas Savienību”, norādot MI akta attiecīgo prasību ieviešanu, kas tiek paredzēta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Igaune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Mākslīgā intelekta akta prasību ieviešanu", Nr. 24-TA-2633 (https://tapportals.mk.gov.lv/legal_acts/2d28c354-9baa-4aa2-ab31-fb4757687050) MK protokollēmumā ir noteikts, ka tirgus uzraudzības funkcijas (tostarp, sodu piemērošanu) par augsta riska MI sistēmām nodarbinātības, darba ņēmēju pārvaldības un piekļuves pašnodarbinātībai jomā veic Datu valsts inspekcijai. Darba likumā paredzēts, ka administratīvā pārkāpuma procesu par darba tiesiskās attiecības regulējošu normatīvo aktu pārkāpšanu veic Valsts darba inspekcija. Aicinām skaidrot likumprojekta anotācijā, kā praksē paredzēts piemērot uzraudzību un soda sankcijas par likumprojekta normas pārkāpumiem, kas paredz darba devēja pienākumu informēt par augsta riska MI sistēmas ieviešanu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Igaune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24-TA-3042</w:t>
    </w:r>
    <w:r>
      <w:br/>
    </w:r>
    <w:r w:rsidR="00000000" w:rsidRPr="00000000" w:rsidDel="00000000">
      <w:rPr>
        <w:rtl w:val="0"/>
      </w:rPr>
      <w:t xml:space="preserve">Izdrukāts 30.06.2025.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24-TA-3042</w:t>
    </w:r>
    <w:r>
      <w:br/>
    </w:r>
    <w:r w:rsidR="00000000" w:rsidRPr="00000000" w:rsidDel="00000000">
      <w:rPr>
        <w:rtl w:val="0"/>
      </w:rPr>
      <w:t xml:space="preserve">Izdrukāts 30.06.2025.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Atzinumi_24-TA-3042.docx</dc:title>
</cp:coreProperties>
</file>

<file path=docProps/custom.xml><?xml version="1.0" encoding="utf-8"?>
<Properties xmlns="http://schemas.openxmlformats.org/officeDocument/2006/custom-properties" xmlns:vt="http://schemas.openxmlformats.org/officeDocument/2006/docPropsVTypes"/>
</file>