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likumprojektā ietvertajam likumprojekta spēkā stāšanās noteikumam, likumprojekts stājas spēkā nākamajā dienā pēc tā izsludināšanas. Vienlaikus likumprojekta anotācijas 1.2. sadaļā norādīts, ka likumprojekts stājas spēkā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salāgot likumprojektā un anotācijā norādīto likumprojekta spēkā stāšanās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2022. gada 23. decembra rīkojuma Nr. 968 "Par Ekonomikas ministrijas un Vides aizsardzības un reģionālās attīstības ministrijas reorganizāciju un Klimata un enerģētikas ministrijas izveidošanu" 2. punktam Klimata un enerģētikas ministrijai </w:t>
            </w:r>
            <w:r w:rsidR="00000000" w:rsidRPr="00000000" w:rsidDel="00000000">
              <w:rPr>
                <w:u w:val="single"/>
                <w:rtl w:val="0"/>
              </w:rPr>
              <w:t xml:space="preserve">tiek nodotas šādas funkcijas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Ekonomikas ministrijas – enerģētikas politikas joma (izņemot naftas produktu rezervju uzturēšanas un uzraudzības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Vides aizsardzības un reģionālās attīstības ministrijas – klimata politikas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valsts pārvaldes uzdevumu deleģēšanas pamatnoteikumi regulēti Valsts pārvaldes iekārtas likuma V nodaļā un no tiem neizriet, ka likumprojekts attiecināms uz deleģētiem valsts pārvaldes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likumprojekta anotācijas 1.2. sadaļu un 1.3. sadaļas pirmo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12.05.2023.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12.05.2023.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