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18.1. ja tiek mainīts pakalpojuma sniedzējs, visi informācijas resursi (tai skaitā glv-ix.lv domēna vārds, GLV-IX autonomā sistēma un maršrutizācijā izmantotās IP adreses un tīkli), kas saistīti ar GLV-IX darbības nodrošināšanu, tiek reģistrēti kā Aizsardzības ministrijas tiesību objekti;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radītu skaidrību saistībā ar nododamo resursu uzskaitījumu, lūdzam precizēt noteikuma projekta 18.1. apakšpunktu atbilstoši piedāvātai redakcijai.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18.1. ja tiek mainīts pakalpojuma sniedzējs, visi informācijas resursi (tai skaitā glv-ix.lv domēna vārds un GLV-IX autonomā sistēma ar maršrutizācijā izmantotām IP adresēm), kas saistīti ar GLV-IX tīkla darbības nodrošināšanu, tiek reģistrēti kā Aizsardzības ministrijas tiesību objekti;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Dainis Valdmanis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30.04.2024.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30.04.2024.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