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“38. Šā likuma 17. panta trešās daļas 2.punktu var piemērot līgumiem par pakalpojumu sniegšanu maršrutu tīklā (maršrutā), pēc šīs normas spēkā stāšanās, ja nav pagājis vairāk kā [viens] gads kopš attiecīgais kompetentās institūcijas lēmums, spriedums vai prokurora priekšraksts par sodu, kas stājies spēkā un kļuvis neapstrīdams un nepārsūdzams.”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14.pantā ietverto Sabiedriskā transporta pakalpojumu likuma pārejas noteikumu 38.punktu, ņemot vērā, ka projekta 8.pantā ietvertajai Sabiedriskā transporta pakalpojumu likuma 17.panta trešajai daļai nav dalījuma vienībās (punktos), kā arī minētajā tiesību normā nav paredzēts nosacījums, kas saistīts ar pārvadātāja atzīšanu par vainīgu ar spriedumu vai prokurora priekšrakstu par sodu, kas stājies spēkā un kļuvis neapstrīdams un nepārsūdzams.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12.07.2024. 10.32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12.07.2024. 10.32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