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"Valsts pārvaldes, tai skaitā pašvaldību, digitālā transformācija"  investīcijas 2.1.1.1.i. "Pārvaldes modernizācija un pakalpojumu digitālā transformācija, tai skaitā uzņēmējdarbības vide" projekta "Tehniskā nodrošinājuma un digitālo risinājumu ieviešana izmeklēšanas procesa efektīvai darbībai, sabiedriskās kārtības un drošības monitoringa uzlabošanai"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(IeM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konkrētajā gadījumā, t.i, pases 2.2.punkta 1.apakšpunktā, ir atsauce uz darbības programmu, līdz ar to lūdzam precizēt tās nosaukumu, kas ir norādīts nekorekti. Līdz ar to atkārtoti lūdzam aizstāt pases 2.2.punkta 1.apakšpunktā vārdus "Eiropas Reģionālās attīstības fonda"  ar vārdiem "Eiropas Savienību struktūrfondu un Kohēzijas fonda".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21.07.2023. 09.47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21.07.2023. 09.47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Atzinumi_22-TA-3840.docx</dc:title>
</cp:coreProperties>
</file>

<file path=docProps/custom.xml><?xml version="1.0" encoding="utf-8"?>
<Properties xmlns="http://schemas.openxmlformats.org/officeDocument/2006/custom-properties" xmlns:vt="http://schemas.openxmlformats.org/officeDocument/2006/docPropsVTypes"/>
</file>