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(33) Par transportlīdzekļa (transportlīdzekļu sastāva), kura pilnā masa nepārsniedz 3,5 tonnas, pilnās masas pārsniegšanu no pieciem līdz 15 procentiem (neieskaitot) piemēro naudas sodu transportlīdzekļa vadītājam no astoņām līdz četrpadsmit naudas soda vienībām, bet pārvadātājam —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Par transportlīdzekļa (transportlīdzekļu sastāva), kura pilnā masa nepārsniedz 3,5 tonnas, pilnās masas pārsniegšanu no 15 līdz 25 procentiem (neieskaitot) piemēro naudas sodu transportlīdzekļa vadītājam no četrpadsmit līdz divdesmit astoņām naudas soda vienībām, bet pārvadātājam —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Par transportlīdzekļa (transportlīdzekļu sastāva), kura pilnā masa nepārsniedz 3,5 tonnas, pilnās masas pārsniegšanu, sākot no 25 procentiem, piemēro naudas sodu transportlīdzekļa vadītājam no divdesmit astoņām līdz piecdesmit sešām naudas soda vienībām, bet pārvadātājam — no astoņdesmit sešām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Par pieļaujamā augstuma pārsniegšanu līdz diviem procentiem (neieskaitot) piemēro naudas sodu transportlīdzekļa vadītājam no četrām līdz astoņām naudas soda vienībām, bet pārvadātājam — no astoņām līdz četrpadsmit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Par pieļaujamā augstuma pārsniegšanu no diviem līdz 25 procentiem (neieskaitot) piemēro naudas sodu transportlīdzekļa vadītājam no četrpadsmit līdz divdesmit astoņām naudas soda vienībām, bet pārvadātājam —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Par pieļaujamā augstuma pārsniegšanu sākot no 25 procentiem piemēro naudas sodu transportlīdzekļa vadītājam no divdesmit astoņām līdz piecdesmit sešām naudas soda vienībām, bet pārvadātājam — no astoņdesmit sešām līdz simt četrdesmit naudas soda 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ņemot vērā projekta anotācijā norādīto skaidrojumu par pārkāpumu sastāviem, aicinām precizēt 36., 37. un 38. daļu, papildinot tās ar vārdiem "transportlīdzekļa (transportlīdzekļu sastāva) bez kravas" attiecīgajos locījumos.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10.08.2023.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10.08.2023.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