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Finanšu ministrijas 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18.02.2026.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18.02.2026.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