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15. novembra noteikumos Nr. 880 "Govju enzootiskās leikozes uzraudzības, kontroles un apkarošanas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(viedoklu_parskats_24-TA-2391)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15. novembra noteikumos Nr. 880 "Govju enzootiskās leikozes uzraudzības, kontroles un apkarošanas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2009.gada 3.februāra noteikumu Nr.108 "Normatīvo aktu projektu sagatavošanas noteikumi" (turpmāk - noteikumi Nr.108) 140. punktam grozījumu projektu nesagatavo, ja tā normu apjoms pārsniegtu pusi no spēkā esošo noteikumu normu apjoma. Šādā gadījumā izstrādā jaunus noteikumus. Vēršam uzmanību, ka projekts skar vismaz pusi no Ministru kabineta 2011. gada 15. novembra noteikumu Nr. 880 "Govju enzootiskās leikozes uzraudzības, kontroles un apkarošanas kārtība" (turpmāk - noteikumi) vienībām. Ievērojot minēto, lūdzam izstrādāt jaunus Ministru kabineta noteikumus par govju enzootiskās leikozes uzraudzības, kontroles un apkarošanas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un nodrošināt pilnīgu un precīzu informāciju par projekta atbilstību Eiropas Savienības tiesību aktiem.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anotācijas 1.3. apakšsadaļai Komisijas 2019. gada 17. decembra Deleģētās regula (ES) 2020/689, ar ko attiecībā uz noteikumiem par noteiktu sarakstā norādītu un jaunradušos slimību uzraudzību, izskaušanas programmām un statusu “brīvs no slimības” papildina Eiropas Parlamenta un Padomes Regulu (ES) 2016/429 (turpmāk - regula 2020/689) ieviesta arī, piemēram, 24.</w:t>
            </w:r>
            <w:r w:rsidR="00000000" w:rsidRPr="00000000" w:rsidDel="00000000">
              <w:rPr>
                <w:vertAlign w:val="superscript"/>
                <w:rtl w:val="0"/>
              </w:rPr>
              <w:t xml:space="preserve">1</w:t>
            </w:r>
            <w:r w:rsidR="00000000" w:rsidRPr="00000000" w:rsidDel="00000000">
              <w:rPr>
                <w:rtl w:val="0"/>
              </w:rPr>
              <w:t xml:space="preserve">4.1. apakšpunktā, savukārt Eiropas Parlamenta un Padomes 2016. gada 9. marta Regulas (ES) 2016/429 par pārnēsājamām dzīvnieku slimībām un ar ko groza un atceļ konkrētus aktus dzīvnieku veselības jomā (“Dzīvnieku veselības tiesību akts”) (turpmāk - regula 2016/429) 31. panta 2. punkts noteikumu 6.2.apakšpunktā, nevis viss tā 6. punktā. Attiecīgi, lūdzam salāgot anotācijas 1.3. apakšsadaļu ar skaidrojumiem anotācijas 5.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projekta redakcijai regulas 2020/689 12., 13., 14. un 15. pants ieviests nevis visā noteikumu 7. punktā, bet konkrēti tā 7.2. apakšpunktā, bet no 6. punkta redakcijas izriet arī regulas 2016/429 31. panta 2. punkta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projekta redakcijai noteikumos nav 1.12. vai 20.3.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pilnībā skaidrota no Eiropas Savienības tiesību aktiem izrietošo dalībvalstu un to kompetento iestāžu rīcības brīvību izmantošana. Piemēram, regulas 2020/689 12. panta 2. punkts paredz, ka "</w:t>
            </w:r>
            <w:r w:rsidR="00000000" w:rsidRPr="00000000" w:rsidDel="00000000">
              <w:rPr>
                <w:i w:val="1"/>
                <w:rtl w:val="0"/>
              </w:rPr>
              <w:t xml:space="preserve">Lai nodrošinātu, ka tiek ilgtspējīgi sasniegti programmas mērķi, </w:t>
            </w:r>
            <w:r w:rsidR="00000000" w:rsidRPr="00000000" w:rsidDel="00000000">
              <w:rPr>
                <w:i w:val="1"/>
                <w:u w:val="single"/>
                <w:rtl w:val="0"/>
              </w:rPr>
              <w:t xml:space="preserve">kompetentā iestāde var izskaušanas programmā iekļaut koordinētus pasākumus</w:t>
            </w:r>
            <w:r w:rsidR="00000000" w:rsidRPr="00000000" w:rsidDel="00000000">
              <w:rPr>
                <w:i w:val="1"/>
                <w:rtl w:val="0"/>
              </w:rPr>
              <w:t xml:space="preserve"> pie kopīgās sauszemes vai jūras robežas ar citām dalībvalstīm vai trešām valstīm.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Regulas 2016/429 31. panta 2. punkta redakcijai tas neparedz dalībvalstij rīcības brīvību, bet gan nosaka, rīcību, kas ievērojama dalībvalstīm, kuras veido slimības izskaušanas programmu (piemēram, programmas projekta iesniegšana apstiprinājumam Komisijai).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fakultatīvo izskaušanas programmu dienests sagatavo atbilstoši regulas </w:t>
            </w:r>
            <w:r w:rsidR="00000000" w:rsidRPr="00000000" w:rsidDel="00000000">
              <w:rPr>
                <w:rtl w:val="0"/>
              </w:rPr>
              <w:t xml:space="preserve">2020/689</w:t>
            </w:r>
            <w:r w:rsidR="00000000" w:rsidRPr="00000000" w:rsidDel="00000000">
              <w:rPr>
                <w:rtl w:val="0"/>
              </w:rPr>
              <w:t xml:space="preserve"> 12., 13., 14. un 15. panta prasībām un saskaņo to ar Eiropas Komisiju.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projektu un veikt tajā visus nepieciešamos labojumus, ņemot vērā,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noteikts arī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tomēr projektā ir nepieciešams pārrakstīt regulā noteikto, lūdzam regulas normas pārrakstīt identiski, jo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Tomēr norādām, ka šis gadījums attaisnojams vienīgi ar indivīdu interesēm saņemt tiem adresētu saskaņotu un labi uztveramu tiesību aktu, un regulu tiešā piemērojamība nepieļauj citus izņēmumus, ko attiecīgi lūdzam 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tiek dublēts,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 punkts (noteikumu 7.2. apakšpunkts), jo Regulas 2016/429 31. panta 2. punkts nosaka, ka fakultatīvo izskaušanas programmu saskaņo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16. punkts (noteikumu 14. apakšpunkts), jo regulas 2020/689 30. panta 1. punkta apakšpunkti, līdzīgi kā projekta vienība paredz, piemēram, transportlīdzekļu tīrīšanu un dezinficēšanu.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1.3. apakšsadaļu un nodrošināt pilnīgus un precīzus projekta skaidrojumus.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7. punkts ievieš regulu 2020/689, bet 24.</w:t>
            </w:r>
            <w:r w:rsidR="00000000" w:rsidRPr="00000000" w:rsidDel="00000000">
              <w:rPr>
                <w:vertAlign w:val="superscript"/>
                <w:rtl w:val="0"/>
              </w:rPr>
              <w:t xml:space="preserve">1</w:t>
            </w:r>
            <w:r w:rsidR="00000000" w:rsidRPr="00000000" w:rsidDel="00000000">
              <w:rPr>
                <w:rtl w:val="0"/>
              </w:rPr>
              <w:t xml:space="preserve">2. apakšpunkts regulu 2020/2002;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projektu, noteikumos vairs nav 20.3.apakšpunkta;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skaidrots viss no projekta izrietošais, piemēram, noteikumu 6.1., 7.2., 18.1., 18.4., 24.14.3. un 24.13 apakšpunkts,  6., 7. un 24.</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iesakām izvērstāk skaidrot, kā tieši projekts ievieš konkrētas Eiropas Savienības tiesību normas, nevis vispārīgi norādīt, piemēram "</w:t>
            </w:r>
            <w:r w:rsidR="00000000" w:rsidRPr="00000000" w:rsidDel="00000000">
              <w:rPr>
                <w:i w:val="1"/>
                <w:rtl w:val="0"/>
              </w:rPr>
              <w:t xml:space="preserve">lai attiecībā uz govju enzootiskās leikozes uzraudzību ieviestu regulas 2020/689 prasības,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noteikumos iepriekš veiktajiem grozījumiem ar projektā grozījumiem pakļautajiem punktiem ir ieviesta arī, piemēram, Komisijas 2011. gada 25. februāra Regula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vai Eiropas Parlamenta un Padomes 2009. gada 21. oktobra Regula (EK) Nr. 1069/2009, ar ko nosaka veselības aizsardzības noteikumus attiecībā uz dzīvnieku izcelsmes blakusproduktiem un atvasinātajiem produktiem, kuri nav paredzēti cilvēku patēriņam, un ar ko atceļ Regulu (EK) Nr. 1774/2002 (Dzīvnieku izcelsmes blakusproduktu regula). Attiecīgi lūdzam pārskatīt projektu un izvērtēt, vai uz to attiecināmās, šī projekta anotācijā nenorādītās (iepriekš pārņemtās/ieviestās) Eiropas Savienības tiesību normas joprojām ir attiecināmas. Šādā gadījumā, iesakām papildināt anotācijas 5.4. apakšpunktu ar norādēm uz Eiropas Savienības tiesību normām vai norādīt, ka līdz šim pārņemtās/ieviestās, no Eiropas Savienības tiesību normām izrietošās prasības netiek mainītas, ietekmētas. Ja pārņemšana/ieviešana tiek ietekmēta, tad lūdzam skaidrot, kā tieši.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govju enzootiskās leikozes uzraudzības, kontroles un apkarošanas pasākumus, kuri piemērojami Komisijas 2019. gada 17. decembra Deleģētās regulas (ES) </w:t>
            </w:r>
            <w:r w:rsidR="00000000" w:rsidRPr="00000000" w:rsidDel="00000000">
              <w:rPr>
                <w:rtl w:val="0"/>
              </w:rPr>
              <w:t xml:space="preserve">2020/689</w:t>
            </w:r>
            <w:r w:rsidR="00000000" w:rsidRPr="00000000" w:rsidDel="00000000">
              <w:rPr>
                <w:rtl w:val="0"/>
              </w:rPr>
              <w:t xml:space="preserve">, ar ko attiecībā uz noteikumiem par noteiktu sarakstā norādītu un jaunradušos slimību uzraudzību, izskaušanas programmām un statusu "brīvs no slimības" papildina Eiropas Parlamenta un Padomes Regulu (ES) 2016/429, (turpmāk – regula </w:t>
            </w:r>
            <w:r w:rsidR="00000000" w:rsidRPr="00000000" w:rsidDel="00000000">
              <w:rPr>
                <w:rtl w:val="0"/>
              </w:rPr>
              <w:t xml:space="preserve">2020/689</w:t>
            </w:r>
            <w:r w:rsidR="00000000" w:rsidRPr="00000000" w:rsidDel="00000000">
              <w:rPr>
                <w:rtl w:val="0"/>
              </w:rPr>
              <w:t xml:space="preserve">) 2. panta 7. punktā minēto ģinšu dzīvniekiem (turpmāk – dzīvnieks).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1. punktu (noteikumu 1. punkts) un izvērtēt nepieciešamību tajā ietvert atsauci uz regulu, ņemot vērā, ka atbilstoši noteikumu Nr. 108 100. punktam projekta pirmajā punktā raksta (pārraksta) likumā noteikto pilnvarojumu Ministru kabinetam.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2. tiek turēti regulas 2020/689 19. pantā minētajos objektos </w:t>
            </w:r>
            <w:r w:rsidR="00000000" w:rsidRPr="00000000" w:rsidDel="00000000">
              <w:rPr>
                <w:rtl w:val="0"/>
              </w:rPr>
              <w:t xml:space="preserve">2020/689</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projekta 2. punktu (noteikumu 1.</w:t>
            </w:r>
            <w:r w:rsidR="00000000" w:rsidRPr="00000000" w:rsidDel="00000000">
              <w:rPr>
                <w:vertAlign w:val="superscript"/>
                <w:rtl w:val="0"/>
              </w:rPr>
              <w:t xml:space="preserve">1</w:t>
            </w:r>
            <w:r w:rsidR="00000000" w:rsidRPr="00000000" w:rsidDel="00000000">
              <w:rPr>
                <w:rtl w:val="0"/>
              </w:rPr>
              <w:t xml:space="preserve">2.apakšpunktu), svītrojot dublējošu atsauci uz regulu.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turēti regulas 2020/689 19. pantā minētajos objektos.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govju enzootiskās leikozes valsts uzraudzības programmu, ja valsts ir brīva no govju enzootiskās leikozes (EBL);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projektu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projektā paralēli lietoto nosaukums "govju enzootiskās leikozes valsts uzraudzības programma" un tā nepieteikto saīsinājumu "valsts uzraudzības programma".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pēc dzīvnieka nosūtīšanas nokaušanai pārējiem dzīvniekiem objektā īsteno pasākumus saskaņā ar regulas </w:t>
            </w:r>
            <w:r w:rsidR="00000000" w:rsidRPr="00000000" w:rsidDel="00000000">
              <w:rPr>
                <w:rtl w:val="0"/>
              </w:rPr>
              <w:t xml:space="preserve">2020/689</w:t>
            </w:r>
            <w:r w:rsidR="00000000" w:rsidRPr="00000000" w:rsidDel="00000000">
              <w:rPr>
                <w:rtl w:val="0"/>
              </w:rPr>
              <w:t xml:space="preserve"> IV pielikuma III daļas 1. nodaļas 4. iedaļas 3. punkta "b" apakšpunkta un 4. punkta prasībām, un dienests konstatē, ka govju enzootiskā leikoze ir apkarota, un objektam tiek piešķirts statuss "brīvs no govju enzootiskās leikozes (EBL)";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14. punktu (noteikumu 13.2.apakšpunktu), ņemot vērā, ka tajā noteikts uzdevums ko jāveic dzīvnieku īpašniekiem vai turētājiem, bet tā nobeigumā izriet arī paralēls pienākums Pārtikas un veterinārajam dienestam "</w:t>
            </w:r>
            <w:r w:rsidR="00000000" w:rsidRPr="00000000" w:rsidDel="00000000">
              <w:rPr>
                <w:i w:val="1"/>
                <w:rtl w:val="0"/>
              </w:rPr>
              <w:t xml:space="preserve">[..] </w:t>
            </w:r>
            <w:r w:rsidR="00000000" w:rsidRPr="00000000" w:rsidDel="00000000">
              <w:rPr>
                <w:i w:val="1"/>
                <w:u w:val="single"/>
                <w:rtl w:val="0"/>
              </w:rPr>
              <w:t xml:space="preserve">un</w:t>
            </w:r>
            <w:r w:rsidR="00000000" w:rsidRPr="00000000" w:rsidDel="00000000">
              <w:rPr>
                <w:i w:val="1"/>
                <w:rtl w:val="0"/>
              </w:rPr>
              <w:t xml:space="preserve"> dienests konstatē,[..]</w:t>
            </w:r>
            <w:r w:rsidR="00000000" w:rsidRPr="00000000" w:rsidDel="00000000">
              <w:rPr>
                <w:rtl w:val="0"/>
              </w:rPr>
              <w:t xml:space="preserve">". Attiecīgi iesakām izvērtēt vai izsakot konkrēto noteikumu vienību jaunā redakcijā, līdzīgi kā spēkā esošajā redakcijā nav nosakāms: "</w:t>
            </w:r>
            <w:r w:rsidR="00000000" w:rsidRPr="00000000" w:rsidDel="00000000">
              <w:rPr>
                <w:i w:val="1"/>
                <w:rtl w:val="0"/>
              </w:rPr>
              <w:t xml:space="preserve">[..]</w:t>
            </w:r>
            <w:r w:rsidR="00000000" w:rsidRPr="00000000" w:rsidDel="00000000">
              <w:rPr>
                <w:i w:val="1"/>
                <w:u w:val="single"/>
                <w:rtl w:val="0"/>
              </w:rPr>
              <w:t xml:space="preserve"> </w:t>
            </w:r>
            <w:r w:rsidR="00000000" w:rsidRPr="00000000" w:rsidDel="00000000">
              <w:rPr>
                <w:i w:val="1"/>
                <w:u w:val="single"/>
                <w:rtl w:val="0"/>
              </w:rPr>
              <w:t xml:space="preserve">līdz </w:t>
            </w:r>
            <w:r w:rsidR="00000000" w:rsidRPr="00000000" w:rsidDel="00000000">
              <w:rPr>
                <w:i w:val="1"/>
                <w:rtl w:val="0"/>
              </w:rPr>
              <w:t xml:space="preserve">dienests konstatē, [..]</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Dienests objektu atzīst par brīvu no govju enzootiskās leikozes un piešķir tam statusu "brīvs no govju enzootiskās leikozes (EBL)", ievadot attiecīgu informāciju Lauku atbalsta dienesta lauksaimniecības dzīvnieku, ganāmpulku un novietņu reģistrā, ja ir izpildīta viena no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iespēju vienkāršot projekta 19. punkta (noteikumu 17. punkts) redakciju. Vēršam uzmanību, ka, ņemot vērā piedāvātās noteikumu 17. punkta apakšpunktu redakcijas, konstatējams, ka tās ir praktiski vienādas un ir iespējams tās apvienot lieki neizvēršot konkrēto projekta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objektu atzīst par brīvu no govju enzootiskās leikozes un piešķir tam statusu "brīvs no govju enzootiskās leikozes (EBL)", ievadot attiecīgu informāciju Lauku atbalsta dienesta lauksaimniecības dzīvnieku, ganāmpulku un novietņu reģistrā, ja dzīvnieki atbilst regulas 2020/689 IV pielikuma III daļas 1. nodaļas 1. iedaļas 1. vai 2. punkta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24-TA-2391</w:t>
    </w:r>
    <w:r>
      <w:br/>
    </w:r>
    <w:r w:rsidR="00000000" w:rsidRPr="00000000" w:rsidDel="00000000">
      <w:rPr>
        <w:rtl w:val="0"/>
      </w:rPr>
      <w:t xml:space="preserve">Izdrukāts 03.03.2025. 08.47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24-TA-2391</w:t>
    </w:r>
    <w:r>
      <w:br/>
    </w:r>
    <w:r w:rsidR="00000000" w:rsidRPr="00000000" w:rsidDel="00000000">
      <w:rPr>
        <w:rtl w:val="0"/>
      </w:rPr>
      <w:t xml:space="preserve">Izdrukāts 03.03.2025. 08.47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Atzinumi_24-TA-2391.docx</dc:title>
</cp:coreProperties>
</file>

<file path=docProps/custom.xml><?xml version="1.0" encoding="utf-8"?>
<Properties xmlns="http://schemas.openxmlformats.org/officeDocument/2006/custom-properties" xmlns:vt="http://schemas.openxmlformats.org/officeDocument/2006/docPropsVTypes"/>
</file>