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tiek minēts, ka likumprojekta 30. pants izstrādāts kā speciālā norma, lai mazinātu administratīvo slogu un nodrošinātu elastīgāku procesu. Lūdzam precizēt, kādā veidā tiks mazināts administratīvais slogs, kā arī vēršam uzmanību, ka administratīvo izmaksu samazinājumu valsts tiešās pārvaldes iestādēm vai pašvaldībām ir nepieciešams atspoguļot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5. panta pirmās daļas 4. punktā ir noteikts jauns pienākums par objekta ugunsdrošību atbildīgajai personai  iesniegt objekta ugunsdrošības stāvokļa novērtējumu atbilstoši likumprojekta 13. pantam, lūdzam aizpildīt anotācijas 2.3. punktu aprēķinot administratīvās izmaksas tām mērķa grupām, kurām šāda prasība būs obligāta. Vadlīnijas administratīvo izmaksu aprēķināšanai ir pieejams Valsts kancelejas mājaslapā: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tiek atspoguļoti uzdevumi arī pašvaldībām, lūdzam pārliecināties, vai šajā sadaļa atbilstoši Vadlīnijām tiesību akta projekta sākotnējās ietekmes novērtēšanai un novērtējuma ziņojuma sagatavošanai TAP portālā nebūtu norādāms, ka izpildes nodrošināšanā ir iesaistītas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