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saskaņā ar šajos noteikumos minētajiem nosacījumiem piešķir Centrālā finanšu un līgumu aģentūra (turpmāk – Aģentūra), noslēdzot vienošanās vai līgumu ar finansējuma saņēmēju par šo noteikumu </w:t>
            </w:r>
            <w:r w:rsidR="00000000" w:rsidRPr="00000000" w:rsidDel="00000000">
              <w:rPr>
                <w:rtl w:val="0"/>
              </w:rPr>
              <w:t xml:space="preserve">6.</w:t>
            </w:r>
            <w:r w:rsidR="00000000" w:rsidRPr="00000000" w:rsidDel="00000000">
              <w:rPr>
                <w:rtl w:val="0"/>
              </w:rPr>
              <w:t xml:space="preserve"> punktā minētā finansējuma izlietošanas un uzraudzības kārtību, kā arī citiem projektu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46.punktā noteikts, ka komercdarbības atbalsta piešķiršanas diena, ir diena, kad ministrija paziņo finansējuma saņēmējam par projekta informācijas atbilstību visām izvirzītajām prasībām, lūdzam novērst pretrunu, proti, noteikumu projekta 9.punktā noteikt, ka Centrālā finanšu un līgumu aģentūra nevis piešķir, bet izmaksā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par Valsts ieņēmumu dienesta administrēto nodokļu (nodevu) parādnieku datubāzēs par finansējuma saņēmēja nodokļu vai nodevu parādu, kas kopsummā pārsniedz 150 euro, izņemot nodokļu maksājumus, kuru segšanai ir piešķirts samaksas termiņa pagarinājums.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16.2.apakšpunktā vārdus "izņemot nodokļu maksājumus, kuru segšanai ir piešķirts samaksas termiņa pagarinājums" ar vārdiem un skaitļiem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projekta iesniegums atbilst šajos noteikumos noteiktajiem nosacījumiem un uz finansējuma saņēmēju nav attiecināms neviens no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minētajiem izslēgšanas kritērijiem, Ministrija informē Aģentūru par atļauju slēgt vienošanās vai civiltiesisko līgumu par projekta īstenošanu (turpmāk –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ministrija vērtē ne tikai atbilstību noteikumu 19. un 20.punktā minētajiem kritērijiem, bet arī šajos "noteikumos noteiktajiem nosacījumiem", kas ietver arī piemērojamā komercdarbības atbalsta nosacījumu izvērtēšanu uz atbalsta piešķiršanas brīdi (kas noteiks šo noteikumu projekta 46.punktā).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radušās izmaksas, kas nav saistītas ar komercdarbības atbalstu, ir attiecināmas no AF finansējuma, ja tās vienošanās vai līguma noslēgšanas brīdī nav pabeigtas, atbilst šo noteikumu </w:t>
            </w:r>
            <w:r w:rsidR="00000000" w:rsidRPr="00000000" w:rsidDel="00000000">
              <w:rPr>
                <w:rtl w:val="0"/>
              </w:rPr>
              <w:t xml:space="preserve">29.</w:t>
            </w:r>
            <w:r w:rsidR="00000000" w:rsidRPr="00000000" w:rsidDel="00000000">
              <w:rPr>
                <w:rtl w:val="0"/>
              </w:rPr>
              <w:t xml:space="preserve"> punktā ietvertajām izmaksu pozīcijām, kā arī ir radušies ne agrāk par 2020. gada 1. februāri.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ka izmaksas, kas saistītas ar komercdarbības atbalstu ir attiecināmas atbilstoši noteikumu 41., 42. punktos noteiktajam. Lūdzam pārliecināties, ka no noteikumu projekta ir skaidrs, no kura brīžā var tikt attiecinātas izmaksas, kad tiek piemērota Regula Nr. 1370/2007 un atsauci uz attiecīgo punktu arī iekļaut šeit.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projekta īstenošanas ietvaros var piesaistīt neatkarīgu revidentu vai iekšējo auditoru (avansa vai starpposma maksājumu pieprasījumi), obligāti piesaista neatkarīgu revidentu vai iekšējo auditoru (noslēguma maksājuma pieprasījums), lai apliecinātu mērķa sasniegšanu un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37.4.apakšpunkta redakciju vai papildināt anotāciju ar skaidrojumu, lai būtu nepārprotami skaidrs pienākums no iekavās ietvertajiem nosacījumiem par maksājumu pieprasījumiem. Vēršam uzmanību,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nodrošina, ka projekta dokumentācija par darbībām, kurām nav attiecināmi komercdarbības atbalsta nosacījumi, ir pieejama piecus gadus pēc noslēguma maksājuma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atbilstoši izziņas 120.punktam, Tieslietu ministrija bija lūgusi noteikumu projekta 37.6.apakšpunktā svītrot vārdu “dalībvalstij”, tomēr, lūdzam atstāt noteikumu projekta 37.6.apakšpunktā vārdu "dalībvalstij". Vēršam uzmanību, ka atbilstoši Atveseļošanas fonda nosacījumiem dokumentu/informācijas pieejamība par projektu ir jānodrošina piecus gadus pēc noslēguma maksājuma, kas veikts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100 procentus no kopējām attiecināmajām izmaksām šo noteikumu </w:t>
            </w:r>
            <w:r w:rsidR="00000000" w:rsidRPr="00000000" w:rsidDel="00000000">
              <w:rPr>
                <w:rtl w:val="0"/>
              </w:rPr>
              <w:t xml:space="preserve">29.17.</w:t>
            </w:r>
            <w:r w:rsidR="00000000" w:rsidRPr="00000000" w:rsidDel="00000000">
              <w:rPr>
                <w:rtl w:val="0"/>
              </w:rPr>
              <w:t xml:space="preserve"> apakšpunktā minētajām darbībām, atbilstoši </w:t>
            </w:r>
            <w:r w:rsidR="00000000" w:rsidRPr="00000000" w:rsidDel="00000000">
              <w:rPr>
                <w:rtl w:val="0"/>
              </w:rPr>
              <w:t xml:space="preserve">Regulas Nr. 651/2014</w:t>
            </w:r>
            <w:r w:rsidR="00000000" w:rsidRPr="00000000" w:rsidDel="00000000">
              <w:rPr>
                <w:rtl w:val="0"/>
              </w:rPr>
              <w:t xml:space="preserve"> 36a. panta 5. un 7. punkta nosacījumiem, nepārsniedzot 40 procentus vienam uzņēmumam no investīcijas kopējām izmaksām, kā arī ņemot vērā šo noteikumu </w:t>
            </w:r>
            <w:r w:rsidR="00000000" w:rsidRPr="00000000" w:rsidDel="00000000">
              <w:rPr>
                <w:rtl w:val="0"/>
              </w:rPr>
              <w:t xml:space="preserve">37.10.</w:t>
            </w:r>
            <w:r w:rsidR="00000000" w:rsidRPr="00000000" w:rsidDel="00000000">
              <w:rPr>
                <w:rtl w:val="0"/>
              </w:rPr>
              <w:t xml:space="preserve"> apakšpunkta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šo normu arī ar atsauci uz šo noteikumu 45.4.apakšpunktu, kurā ietverti Komisijas regulas Nr.651/2014 36.a.panta 4.punkta nosacījumi, kas ir attiecināmi tieši uz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Saskaņā ar </w:t>
            </w:r>
            <w:r w:rsidR="00000000" w:rsidRPr="00000000" w:rsidDel="00000000">
              <w:rPr>
                <w:rtl w:val="0"/>
              </w:rPr>
              <w:t xml:space="preserve">Regulas Nr. 651/2014</w:t>
            </w:r>
            <w:r w:rsidR="00000000" w:rsidRPr="00000000" w:rsidDel="00000000">
              <w:rPr>
                <w:rtl w:val="0"/>
              </w:rPr>
              <w:t xml:space="preserve"> 6. panta prasībām darbus var uzsākt pēc šo noteikumu </w:t>
            </w:r>
            <w:r w:rsidR="00000000" w:rsidRPr="00000000" w:rsidDel="00000000">
              <w:rPr>
                <w:rtl w:val="0"/>
              </w:rPr>
              <w:t xml:space="preserve">14.</w:t>
            </w:r>
            <w:r w:rsidR="00000000" w:rsidRPr="00000000" w:rsidDel="00000000">
              <w:rPr>
                <w:rtl w:val="0"/>
              </w:rPr>
              <w:t xml:space="preserve"> punkta nosacījumu izpildes, ņemot vērā ka </w:t>
            </w:r>
            <w:r w:rsidR="00000000" w:rsidRPr="00000000" w:rsidDel="00000000">
              <w:rPr>
                <w:rtl w:val="0"/>
              </w:rPr>
              <w:t xml:space="preserve">Regulas Nr. 651/2014</w:t>
            </w:r>
            <w:r w:rsidR="00000000" w:rsidRPr="00000000" w:rsidDel="00000000">
              <w:rPr>
                <w:rtl w:val="0"/>
              </w:rPr>
              <w:t xml:space="preserve"> izpratnē par darbu sākumu ir uzskatāmas darbības, kas atbilst 2. panta 23. punkta nosacījumiem (ja darbu sākums ir pirms projekta iesnieguma iesniegšanas brīža, projekts ir noraidāms).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normu, kā arī normatīvā akta skaidrības nolūkos, lūdzam papildināt noteikumu projektu ar "darbu sākuma" definīciju atbilstoši Komisijas regulas Nr.651/2014 2.panta 23.punktam.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Darbus var uzsākt pēc šo noteikumu 14. punktā minētā pieteikuma iesniegšanas atbilstoši Regulas Nr. 651/2014 6. pantā noteiktajam. Darbu sākums atbilstoši Regulas Nr.651/2014 2. panta 23. punkta nosacījumiem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 Ja darbu sākums ir pirms projekta iesnieguma iesniegšanas brīža,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Projekta ietvaros var kombinēt izmaksas, kuras ir un nav saistītas 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precizēšanu, jo, piemēram, 44.8.punktā ir nosacījums par kumulāciju, kad piemēro Regulas Nr. 651/2014 36.a.pantu un 47.3.punktā par kumulāciju de minimis atbalsta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Regulas Nr. 651/2014 4. panta 1. punkta "s a" (ja attiecināms) un "cc" apakšpunkta nosacījumi, ka individuālais atbalsts nepārsniedz šajos apakšpunktos noteiktās paziņošanas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atsauci uz Regulas Nr. 651/2014 4. panta 1. punkta "s a" apakšpunktu ar atsauci uz Regulas Nr. 651/2014 4. panta 1. punkta "s b" apakšpunktu, ņemot vērā, ka tajā apakšpunktā ir noteikti ierobežojumi, kas ir attiecināmi uz atbalstu saskaņā ar Komisijas regulas Nr.651/2014 36a.panta mērķi. Kā arī lūdzam dzēst atsauci Regulas Nr. 651/2014 4. panta 1. punkta"cc" apakšpunktu, jo noteikumu projekta ietvaros netiek paredzēts atbalsts vietējai infrastruktūrai (t.i., ar Komisijas regulas Nr. 651/2014 56.panta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Regulas Nr. 651/2014 6. panta 1. punkta nosacījumi, kur noteikta atbalsta piemērošana tikai darbībām ar stimulējošo ietekmi, ko finansējuma saņēmējam jāpamato atbilstoši Regulas Nr. 651/2014 6. panta 2. punkta nosacījumiem, iesniedzot rakstisku projekta iesniegumu, ietverot projekta Regulas Nr. 651/2014 6. panta 2. punktā noteikto informācijas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šo punktu svītrot, jo 41.punktā šie nosacījumi jau ir aptverti.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 Regulas Nr. 651/2014 9. panta nosacījumi par sniegtā komercdarbības atbalsta informācijas publicēšanu, ņemot vērā </w:t>
            </w:r>
            <w:r w:rsidR="00000000" w:rsidRPr="00000000" w:rsidDel="00000000">
              <w:rPr>
                <w:rtl w:val="0"/>
              </w:rPr>
              <w:t xml:space="preserve">2016. gada 21. jūnija Ministru kabineta noteikumu Nr. 386 “Kārtība, kādā publicē informāciju par sniegto komercdarbības atbalstu un piešķir un anulē elektroniskās sistēmas lietošanas tiesības”</w:t>
            </w:r>
            <w:r w:rsidR="00000000" w:rsidRPr="00000000" w:rsidDel="00000000">
              <w:rPr>
                <w:rtl w:val="0"/>
              </w:rPr>
              <w:t xml:space="preserve">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ietvaros noteikt iestādi, uz kuru attieksies publicēšanas pienākums, ņemot vērā Ministru kabineta 2016. gada 21. jūnija noteikumu Nr. 386 “Kārtība, kādā publicē informāciju par sniegto komercdarbības atbalstu un piešķir un anulē elektroniskās sistēmas lietošanas tiesības” prasības. Šie noteikumi nosaka kārtību, kādā valsts vai pašvaldības institūcija vai šo institūciju pilnvarota juridiska persona publicē informāciju par sniegto komercdarbības atbalstu un kādā piešķir un anulē Eiropas Komisijas pārziņā esošās elektroniskās sistēmas Aid Award System Application lietošanas tiesības. Alternatīvi lūdzam anotācijā skaidrot, kura būs tā iestāde, uz kuru attieksies publicēšanas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Regulas Nr. 651/2014 36a. panta 4. un 5. punktu, kur noteikts ka atbalsts tiek piešķirts atklātā, pārredzamā, nediskriminējošā un konkurenci nodrošinošā konkursa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norma netiek interpretēta tādējādi, ka pietiek ievērot, ka procedūra ir atklāta, pārredzama, nediskriminējoša un konkurenci nodrošinoša, lai izpildītu Regulas Nr. 651/2014 36a. panta 4.punkta nosacījumus, bet nodrošinātu, ka tiek ievēroti visi nosacījumi, kas uzskaitīti iepriekšminētajā punktā, lūdzam 45.4.apakšpunktu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36a. panta 4. un 5. punkti atbalsta piešķiršanai atklātā, pārredzamā, nediskriminējošā un konkurenci nodrošinošā konkursa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Regulas Nr. 651/2014 36a. panta 8. un 9. punkts, kur noteikts ka atbalsts tiek sniegts tikai tādas uzlādes infrastruktūras izbūvei, uzstādīšanai, modernizēšanai vai paplašināšanai, kura ir publiski pieejama un nodrošina nediskriminējošu piekļuvi lietotājiem, tostarp, attiecībā uz tarifiem, autentificēšanos, apmaksas veidiem un citiem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norma netiek interpretēta sašaurināti, jo paskaidrojums, ko minētais Regulas Nr. 651/2014 36a. panta 8. punkts ietver, neaptver visu, lūdzam 45.5.apakšpunktu papildināt. Ņemot vērā, ka Regulas Nr. 651/2014 36a. panta 9.punkts uzliek pienākumu operatoriem, lūdzam to ietvert atsevišķā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tiek pārkāptas komercdarbības atbalsta regulējuma, </w:t>
            </w:r>
            <w:r w:rsidR="00000000" w:rsidRPr="00000000" w:rsidDel="00000000">
              <w:rPr>
                <w:rtl w:val="0"/>
              </w:rPr>
              <w:t xml:space="preserve">Regulas Nr. 1370/2007</w:t>
            </w:r>
            <w:r w:rsidR="00000000" w:rsidRPr="00000000" w:rsidDel="00000000">
              <w:rPr>
                <w:rtl w:val="0"/>
              </w:rPr>
              <w:t xml:space="preserve"> un </w:t>
            </w:r>
            <w:r w:rsidR="00000000" w:rsidRPr="00000000" w:rsidDel="00000000">
              <w:rPr>
                <w:rtl w:val="0"/>
              </w:rPr>
              <w:t xml:space="preserve">Regulas Nr. 651/2014</w:t>
            </w:r>
            <w:r w:rsidR="00000000" w:rsidRPr="00000000" w:rsidDel="00000000">
              <w:rPr>
                <w:rtl w:val="0"/>
              </w:rPr>
              <w:t xml:space="preserve"> prasības, finansējuma saņēmējam ir pienākums atmaksāt Aģentūrai visu projekta ietvaros nelikumīgi saņemto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normas sākuma svītrot vārdus "komercdarbības atbalsta regulējuma,", jo papildinošas saimnieciskas darbības atgūšanas norma ir iekļauta 56.punktā.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papildinoša saimnieciskā darbība – darbība, kas ir tieši saistīta ar infrastruktūras ekspluatāciju un izmantošanu un nav saistīta ar finansējuma saņēmēja pamatdarbības jomu, ja tai tiek patērēti tādi paši resursi (piemēram, materiāli, aprīkojums, darbaspēks un pamatkapitāls) kā ar saimniecisku darbību nesaistītai pamatdarbībai un katru gadu iedalītā kapacitāte platības, laika vai finanšu izteiksmē nepārsniedz 20 procentus no infrastruktūras kopējās gada kapacitātes;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papildinošas saimnieciskā darbības definīcijas ietveršanu noteikumu projektā, lūdzam izteikt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 saimnieciskā darbība – darbība, kas ir tieši saistīta ar infrastruktūras ekspluatāciju un tai nepieciešama vai nesaraujami saistīta ar tās galveno ar saimniecisko darbību nesaistīto izmantojumu, patērējot tādu pašu resursu (piemēram, materiālus, aprīkojumu, darbaspēku) kā ar saimniecisko darbību nesaistītajām darbībām, un katru gadu iedalītā kapacitāte platības, laika vai finanšu izteiksmē nepārsniedz 20 procentus no infrastruktūras kopējās gada kapacitātes. Satiksmes ministrija izstrādā metodiskos norādījumus par parasto papildpakalpojumu un papildinošas saimnieciskās darbības kontroli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Atbalstu, kas šo noteikumu ietvaros piešķirts saskaņā ar </w:t>
            </w:r>
            <w:r w:rsidR="00000000" w:rsidRPr="00000000" w:rsidDel="00000000">
              <w:rPr>
                <w:rtl w:val="0"/>
              </w:rPr>
              <w:t xml:space="preserve">Regulas Nr. 651/2014</w:t>
            </w:r>
            <w:r w:rsidR="00000000" w:rsidRPr="00000000" w:rsidDel="00000000">
              <w:rPr>
                <w:rtl w:val="0"/>
              </w:rPr>
              <w:t xml:space="preserve"> nosacījumiem, piešķir līdz </w:t>
            </w:r>
            <w:r w:rsidR="00000000" w:rsidRPr="00000000" w:rsidDel="00000000">
              <w:rPr>
                <w:rtl w:val="0"/>
              </w:rPr>
              <w:t xml:space="preserve">2020. gada 2. jūlija Komisijas Regulas (ES) 2020/972 ar ko groza Regulu (ES) Nr. 1407/2013 attiecībā uz tās pagarināšanu un groza Regulu (ES) Nr. 651/2014 attiecībā uz tās pagarināšanu un attiecīgiem pielāgojumiem</w:t>
            </w:r>
            <w:r w:rsidR="00000000" w:rsidRPr="00000000" w:rsidDel="00000000">
              <w:rPr>
                <w:rtl w:val="0"/>
              </w:rPr>
              <w:t xml:space="preserve"> 11. panta 5. punktā minētajam spēkā esamības termiņam, ņemot vērā  </w:t>
            </w:r>
            <w:r w:rsidR="00000000" w:rsidRPr="00000000" w:rsidDel="00000000">
              <w:rPr>
                <w:rtl w:val="0"/>
              </w:rPr>
              <w:t xml:space="preserve">Regulas Nr. 651/2014</w:t>
            </w:r>
            <w:r w:rsidR="00000000" w:rsidRPr="00000000" w:rsidDel="00000000">
              <w:rPr>
                <w:rtl w:val="0"/>
              </w:rPr>
              <w:t xml:space="preserve"> 58. panta 4. punktā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1.jūlijā stājās spēkā </w:t>
            </w:r>
            <w:r w:rsidR="00000000" w:rsidRPr="00000000" w:rsidDel="00000000">
              <w:rPr>
                <w:i w:val="1"/>
                <w:rtl w:val="0"/>
              </w:rPr>
              <w:t xml:space="preserve">Komisijas regula (ES)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w:t>
            </w:r>
            <w:r w:rsidR="00000000" w:rsidRPr="00000000" w:rsidDel="00000000">
              <w:rPr>
                <w:rtl w:val="0"/>
              </w:rPr>
              <w:t xml:space="preserve"> (t.i., Komisijas regulas Nr.651/2014 grozījumi)(Pieejama šeit: https://eur-lex.europa.eu/legal-content/LV/TXT/HTML/?uri=CELEX:32023R1315), ar kuru tika pagarināts Komisijas regulas Nr.651/2014 darbības termiņš līdz 2026.gada 31.decembrim, lūdzam pārskatīt un precizēt šī punkta redakciju, piem., šādā redakcijā: "</w:t>
            </w:r>
            <w:r w:rsidR="00000000" w:rsidRPr="00000000" w:rsidDel="00000000">
              <w:rPr>
                <w:i w:val="1"/>
                <w:rtl w:val="0"/>
              </w:rPr>
              <w:t xml:space="preserve">Atbalstu, kas šo noteikumu ietvaros piešķirts saskaņā ar Regulas Nr. 651/2014 nosacījumiem, piešķir ievērojot Regulas Nr. 651/2014 58. panta 4. punktā un 59.pantā noteiktos termiņus."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1.3. sadaļā atbilstoši likuma “Par valsts budžetu 2023.gadam un budžeta ietvaru 2023., 2024. un 2025.gadam” 36.panta pirmās daļas 2.punktam, norādot, ka aizņēmuma apmērs AF projektu īstenošanai nevar pārsniegt AF finansējuma kopsummu nevis projekta attiecināmo izmaksu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pie ietekmes uz pašvaldību budžetiem nebūtu jānorāda plānotā finansiālā ietekme uz pašvaldību kapitālsabiedrībām, līdz ar to PVN izmaksas, kas attiecas uz RP SIA “Rīgas Satiksme” Atveseļošanas fonda finansējuma daļu, nebūtu jāiekļauj pie ietekmes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3. sadaļā un kā kārtējo gadu norādīt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31.07.2023. 22.32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31.07.2023. 22.32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Atzinumi_22-TA-1939.docx</dc:title>
</cp:coreProperties>
</file>

<file path=docProps/custom.xml><?xml version="1.0" encoding="utf-8"?>
<Properties xmlns="http://schemas.openxmlformats.org/officeDocument/2006/custom-properties" xmlns:vt="http://schemas.openxmlformats.org/officeDocument/2006/docPropsVTypes"/>
</file>