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68 "Stipendiju piešķiršanas kārtība ārzemniekiem"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iepriekš iesniegto priekšlikumu, jo uzskatām, ka darba tirgus prognozes kopumā izmantojamas vispārējo tendenču noteikšanā, taču tautsaimniecībā arī šo nozaru apakšnozaru grupas var būtiski atšķirties gan no to ekonomiskās attīstības perspektīvas, gan reālā laika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cilvēkkapitāla pietiekamības izaicinājumus eksportorientētajās un augstas pievienotās vērtības tautsaimniecības nozarēs, lūdzam atkārtoti papildināt tiesību akta anotāciju, ka Ekonomikas ministrija pirms nozaru studiju programmu prioritāšu noteikšanas veic nozaru darba devēju viedokļu izvērtēšanu, piemēram, tieši konsultējoties ar darba devēju organizācijām vai izvērtējot piedāvāto prioritāro studiju programmu sarakstu Cilvēkkapitāla attīstības padomē. Tādējādi, nepieciešamības gadījumā, iespējams aktualizēt tās tautsaimniecību nozaru vajadzības, kuras rodas inovatīvu produktu attīstības ietvarā vai jaunu nozaru attīstības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23.01.2026.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23.01.2026.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Atzinumi_25-TA-1001.docx</dc:title>
</cp:coreProperties>
</file>

<file path=docProps/custom.xml><?xml version="1.0" encoding="utf-8"?>
<Properties xmlns="http://schemas.openxmlformats.org/officeDocument/2006/custom-properties" xmlns:vt="http://schemas.openxmlformats.org/officeDocument/2006/docPropsVTypes"/>
</file>