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Kokmateriālu ražotāju un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Izteikt 53.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atlaides apmērs 200 tūkst. EUR ir par maz un nedod pietiekošu atbalstu nozīmīgu industriālu digitalizācijas projektu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jeb kapitāla atlaidei nevajadzētu būt mazākai nekā 500 tūkst. Eiro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29.04.2024.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29.04.2024.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Atzinumi_24-TA-125.docx</dc:title>
</cp:coreProperties>
</file>

<file path=docProps/custom.xml><?xml version="1.0" encoding="utf-8"?>
<Properties xmlns="http://schemas.openxmlformats.org/officeDocument/2006/custom-properties" xmlns:vt="http://schemas.openxmlformats.org/officeDocument/2006/docPropsVTypes"/>
</file>