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Kadastrālo vērtību bāze universālās kadastrālās vērtības aprēķinam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(Kadastrālo vērtību bāzes infografika)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(Infografika par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(Atbilde sabiedrības līdzdalībai)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(Ārpus Tiesību aktu portāla saņemtie iebildumi)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noteikumu projekts ir izstrādāts atbilstoši Nekustamā īpašuma valsts kadastra likuma pārejas noteikumu 43.</w:t>
            </w:r>
            <w:r w:rsidR="00000000" w:rsidRPr="00000000" w:rsidDel="00000000">
              <w:rPr>
                <w:vertAlign w:val="superscript"/>
                <w:rtl w:val="0"/>
              </w:rPr>
              <w:t xml:space="preserve">2</w:t>
            </w:r>
            <w:r w:rsidR="00000000" w:rsidRPr="00000000" w:rsidDel="00000000">
              <w:rPr>
                <w:rtl w:val="0"/>
              </w:rPr>
              <w:t xml:space="preserve"> punktam un virzot šo likumprojektu izskatīšanai Ministru kabinetā, tā anotācijas 3.sadaļā bija norādīts, ka likumprojekta normu izpildei nepieciešamais finansējums 1 495 711 euro apmērā ir paredzēts Tieslietu ministrijas budžeta programmā 07.00.00 “Nekustamā īpašuma tiesību politikas īstenošana”, līdz ar to lūdzam papildināt anotācijas 3.sadaļas punktu “Cita informācija”, norādot, ka noteikumu projekta normu izpilde tiks nodrošināta Tieslietu ministrijai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6.3. apakšsadaļā “Sabiedrības līdzdalības rezultāti” tiek īpaši izcelta Finanšu ministrijas kompetence attiecībā uz nekustamā īpašuma nodokli. Attiecīgi, tiek norādīts, ka “Jāuzsver, ka iepriekš minētie privātpersonu viedokļi tiešā veidā nav attiecināmi uz  konkrētā projekta saturu, jo projekts noteic kadastrālo vērtību bāzi universālās kadastrālās vērtības aprēķinam un neattieksies uz nekustamā īpašuma nodokļa aprēķinu. Kopumā jautājumi par nekustamā īpašuma nodokļa apmēru ir Finanšu ministrijas kompetencē.” un “Jāakcentē, ka Tieslietu ministrijas kompetencē ir izstrādāt šo projektu, to balstot uz nekustamā īpašuma 2022. gada 1. jūlija tirgus datiem, nepārsniedzot 80% no vidējā nekustamo īpašumu cenu līmeņa, bet jautājumi par nekustamā īpašuma nodokļa apmēriem, valsts nodevu un citu maksājumu valsts vai pašvaldības budžetā aprēķināšanai, ir citu tiesību aktu regulējuma jautājums, kuri ir Finanšu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kadastrālā vērtība ir nekustamā īpašuma nodokļa bāze – attiecīgi tikai viens no elementiem, kas, kopsakarā ar piemēroto nekustamā īpašuma nodokļa likmi, piemērotajiem nekustamā īpašuma nodokļa atbrīvojumiem vai atvieglojumiem, nosaka kādā apmērā būs nekustamā īpašuma nodokļa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6.3. apakšsadaļā “Sabiedrības līdzdalības rezultāti” neizcelt īpaši (ieliekot treknrakstā) iekļauto informāciju saistībā ar Finanšu ministriju. Papildus informējam, ka, ņemot vērā sabiedrības iebildumu saturu un apjomu attiecībā uz izstrādātajiem noteikumiem saistībā ar nekustamā īpašuma nodokļa sasaisti ar universālo kadastrālo vērtību, iespējams jāvērtē sabiedrībai sniegtās informācijas  uztveramība.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24-TA-2116</w:t>
    </w:r>
    <w:r>
      <w:br/>
    </w:r>
    <w:r w:rsidR="00000000" w:rsidRPr="00000000" w:rsidDel="00000000">
      <w:rPr>
        <w:rtl w:val="0"/>
      </w:rPr>
      <w:t xml:space="preserve">Izdrukāts 12.11.2024.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24-TA-2116</w:t>
    </w:r>
    <w:r>
      <w:br/>
    </w:r>
    <w:r w:rsidR="00000000" w:rsidRPr="00000000" w:rsidDel="00000000">
      <w:rPr>
        <w:rtl w:val="0"/>
      </w:rPr>
      <w:t xml:space="preserve">Izdrukāts 12.11.2024.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Atzinumi_24-TA-2116.docx</dc:title>
</cp:coreProperties>
</file>

<file path=docProps/custom.xml><?xml version="1.0" encoding="utf-8"?>
<Properties xmlns="http://schemas.openxmlformats.org/officeDocument/2006/custom-properties" xmlns:vt="http://schemas.openxmlformats.org/officeDocument/2006/docPropsVTypes"/>
</file>