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gar valsts un pašvaldību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paredzēts punktu svītrot, taču ir gadījumi, kad šī atļauja ir būtiski  nepieciešama, piemēram, Valsts autoceļš iet caur ciematu, tieši gar dzīvojamajām mājām un auto ceļa malas koki ir vienīgie stādījumi, kas pasargā iedzīvotājus no autoceļa kaitīgajiem izmešiem un nodrošina kaut minimālu noēnojumu, karstajā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uzturētājiem vieglāk ir plānot darbus, paredzot  pilnīgi visu koku izciršanu, kā rezultātā ciems paliek klaja lauka vidū. Realitātē pietiek ar dažu koku izņemšanu un vainagu sakopšanu atlikušajiem.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 gadījums, kad ciršanai paredzētie koki ir vietējās nozīmes aizsargājamie, nozīmīgi piemiņas koki vai citādi vietējai kopienai ļoti nozīmīgi koki.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teritorijās Attiecīgās zemes īpašniekam vai tiesiskajam valdītājam nepieciešama pašvaldības atļauja koku ciršanai ārpus meža, ja kokus cērt: 4.7. gar valsts un pašvaldību 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01.08.2025.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01.08.2025.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