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Satiksmes un rūpniecisko objektu vides trokšņa pārvaldība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tabulā funkcionālās zonas vai teritorijas skaidrojumu (1 pašvaldības teritorijas plānojumā noteiktā funkcionālā zona vai teritorija) papildināt ar lokālplānojumu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teritorijas plānojumā vai lokālplānojumā noteiktā funkcionālā zona vai teritorija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tabulā galveno izmantošanas veidu 1 (1 pašvaldības teritorijas plānojumā noteiktā funkcionālā zona un teritorijas galvenais izmantošanas veids) papildināt ar lokālplānojumu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teritorijas plānojumā vai lokālplānojumā noteiktā funkcionālā zona un teritorijas galvenais izmantošanas veids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noteikt augstumu, kurā nosakāma vides trokšņa indikatora 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Jaunas dzīvojamās ēkas vai ēkas, kuru izmanto izglītības, veselības vai sociālās aprūpes vajadzībām būvniecība ir pieļaujama, ja vides trokšņa novērtējums aprēķinu ceļā vai vides trokšņa prognoze apliecina, ka teritorijā nav vides trokšņa robežlieluma pārsnieguma, vai būvniecības ierosinātājs projektē un īsteno prettrokšņa pasākumus, kas nodrošina trokšņa līmeņa atbilstību trokšņa robežlielumiem ēku telpās, un neveido labiekārtotu ārtelpu zemes vienības daļā, kur vides trokšņa līmenis pārsniedz vides trokšņa robežlielumus.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saistībā ar šajā punktā noteikto normu trokšņa novērtējums ir jāveic jebkurai plānotai dzīvojamās ēkas būvniecībai.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09.05.2023.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09.05.2023.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Atzinumi_21-TA-871.docx</dc:title>
</cp:coreProperties>
</file>

<file path=docProps/custom.xml><?xml version="1.0" encoding="utf-8"?>
<Properties xmlns="http://schemas.openxmlformats.org/officeDocument/2006/custom-properties" xmlns:vt="http://schemas.openxmlformats.org/officeDocument/2006/docPropsVTypes"/>
</file>