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reģionālās attīstības aģentūras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08.03.2024.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08.03.2024.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