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kādas tiesiskās sekas projektā paredzētie grozījumi radīs tiem pensiju saņēmējiem, kuriem ir piešķirtas pensijas līdz projekta spēkā stāšanās brīdim. Vienlaikus lūdzam izvērtēt, vai pārejai uz jauno regulējumu projektā nebūtu paredzama pārejas kārtība (piemēram, regulējuma piemērošana attiecībā uz tiem pensiju pieprasījumiem, kas iesniegti līdz projekta spēkā stāšanās brīdim).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01.07.2024.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01.07.2024.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Atzinumi_24-TA-269.docx</dc:title>
</cp:coreProperties>
</file>

<file path=docProps/custom.xml><?xml version="1.0" encoding="utf-8"?>
<Properties xmlns="http://schemas.openxmlformats.org/officeDocument/2006/custom-properties" xmlns:vt="http://schemas.openxmlformats.org/officeDocument/2006/docPropsVTypes"/>
</file>