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24-TA-1631: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attīstības pamatnostādņu 2021. – 2027. gadam „Nākotnes prasmes nākotnes sabiedrībai” RĪCĪBAS PLĀNS 2024.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rīcības plānu, nosakot, ka ne tikai ir izstrādāti priekšlikumi profesionālās izglītības finansēšanai, bet attiecīgi arī izstrādāts finansēšanas modelis un attiecīgie tiesību akti, nodrošināta to sabiedriskā apspriešana 2025.gadā. Ņemot vērā, ka priekšlikumu ieviešana ir saistīta ar valsts budžeta plānošanas procesu, aicinām noteikt termiņu vienlaicīgi ar 2026.gada budžeta izstrādes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pilnvērtīgi papildināt informāciju par finansējumu mācību līdzekļu iegādei, tai skaitā ņemot vērā izziņā norādītos pasākumus un to, ka 2024.gadā ir apzināts, ka valsts budžeta nepietiekamais finansējums rada nevienlīdzību izglītojamo vidū mācību apguves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14.02.2025.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14.02.2025.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Atzinumi_24-TA-1631.docx</dc:title>
</cp:coreProperties>
</file>

<file path=docProps/custom.xml><?xml version="1.0" encoding="utf-8"?>
<Properties xmlns="http://schemas.openxmlformats.org/officeDocument/2006/custom-properties" xmlns:vt="http://schemas.openxmlformats.org/officeDocument/2006/docPropsVTypes"/>
</file>