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projekta anotāciju un tās pielikumu, secināms, ka nav veikts pilnvērtīgs ekonomiskais izvērtējums, lai pamatotu, ka citādā veidā nav iespējams efektīvi sasniegt VPIL 88. panta pirmās daļas 1.punktā noteikto mērķi.  Anotācijā nav analizēti alternatīvi risinājumi, kā mērķi sasniegt bez publiskas personas līdzdalības kapitālsabiedrībā, kā arī nav pamatots, ka šāda līdzdalība ir ekonomiski pamatotākais, efektīvākais iespējamais risinājums. Anotācijā sadaļā Finansiālais apsvērums iekļauti tikai nomaksātie nodokļi.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 (Dagnija Zepa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06.02.2026.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06.02.2026.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Atzinumi_25-TA-2913.docx</dc:title>
</cp:coreProperties>
</file>

<file path=docProps/custom.xml><?xml version="1.0" encoding="utf-8"?>
<Properties xmlns="http://schemas.openxmlformats.org/officeDocument/2006/custom-properties" xmlns:vt="http://schemas.openxmlformats.org/officeDocument/2006/docPropsVTypes"/>
</file>