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25-TA-3118: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plāna "Prioritārie rīcības virzieni meliorācijas politikā 2021.–2027. gadam"ieviešanu 2020.–2025.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pielikuma tabulas trešajā kolonnā "Rezultatīvie rādītāji" 3.punktā  "Life" programmas projekts "Latvijas upju baseinu apsaimniekošanas plānu ieviešana laba virszemes ūdens stāvokļa sasniegšanai" kā atbildīgo iestādi norādīt Klimata un enerģētikas ministriju, ņemot vērā iestāžu reorganizāciju un kompetenču sadalījumu.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Ozoliņa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precizēt ieviesto pasākumu laika periodu, ņemot vērā to, ka lnformatīvais ziņojums ir par plāna "Prioritārie rīcības virzieni meliorācijas politikā 2021.–2027. gadam" ieviešanu</w:t>
            </w:r>
            <w:r w:rsidR="00000000" w:rsidRPr="00000000" w:rsidDel="00000000">
              <w:rPr>
                <w:b w:val="1"/>
                <w:rtl w:val="0"/>
              </w:rPr>
              <w:t xml:space="preserve"> 2020.–2025.gadā</w:t>
            </w:r>
            <w:r w:rsidR="00000000" w:rsidRPr="00000000" w:rsidDel="00000000">
              <w:rPr>
                <w:rtl w:val="0"/>
              </w:rPr>
              <w:t xml:space="preserve">. Tajā skaitā izvērtēt vai Informatīvajā ziņojumā iekļautā atsauce uz 2021.-2023.gadu periodu nav jāprecizē uz 2021.- 2025.gada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Ozoliņa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25-TA-3118</w:t>
    </w:r>
    <w:r>
      <w:br/>
    </w:r>
    <w:r w:rsidR="00000000" w:rsidRPr="00000000" w:rsidDel="00000000">
      <w:rPr>
        <w:rtl w:val="0"/>
      </w:rPr>
      <w:t xml:space="preserve">Izdrukāts 13.01.2026. 16.17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25-TA-3118</w:t>
    </w:r>
    <w:r>
      <w:br/>
    </w:r>
    <w:r w:rsidR="00000000" w:rsidRPr="00000000" w:rsidDel="00000000">
      <w:rPr>
        <w:rtl w:val="0"/>
      </w:rPr>
      <w:t xml:space="preserve">Izdrukāts 13.01.2026. 16.17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Atzinumi_25-TA-3118.docx</dc:title>
</cp:coreProperties>
</file>

<file path=docProps/custom.xml><?xml version="1.0" encoding="utf-8"?>
<Properties xmlns="http://schemas.openxmlformats.org/officeDocument/2006/custom-properties" xmlns:vt="http://schemas.openxmlformats.org/officeDocument/2006/docPropsVTypes"/>
</file>