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3.1.1.4. ziņas par personu apliecinošu dokumentu (veids, numurs, izdošanas datums, derīguma termiņš, izdevējvalsts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Vispārīgās datu aizsardzības regulas 5. panta 1. punktā nostiprinātos datu minimizēšanas un nolūka ierobežojuma principus, aicinām Ministru kabineta noteikumu projekta "Transportlīdzekļu un to vadītāju valsts reģistra noteikumi" (turpmāk - projekts)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skaidrot, ar kādu nolūku Transportlīdzekļu un to vadītāju valsts reģistrā (turpmāk - reģistrs) tiks apstrādātas ziņas par personu apliecinošu dokumentu un uzturēšanās atļauju. No anotācijas izriet, ka šie dati ir nepieciešami, lai veiktu personas identitātes pārbaudi. Ņemot vērā minēto, Tieslietu ministrijas ieskatā, būtu pietiekams, ja persona, saņemot valsts akciju sabiedrības "Ceļu satiksmes un drosības direkcija" (turpmāk - CSDD) pakalpojumus, tikai uzrādītu personu apliecinošu dokumentu vai uzturēšanās atļauju.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administratīvo sodu, kas piemērots Administratīvās atbildības likuma 162.pantā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Nav ņemts vērā Tieslietu ministrijas 07.10.2024. atzinumā paustais iebildums.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ir izskatījusi precizēto projektu un secina, ka tās 07.10.2024. atzinumā norādītais iebildums tomēr nav ņemts vērā. Tieslietu ministrija uztur savu iebildumu un norāda,  ka Ceļu satiksmes likuma 43.</w:t>
            </w:r>
            <w:r w:rsidR="00000000" w:rsidRPr="00000000" w:rsidDel="00000000">
              <w:rPr>
                <w:vertAlign w:val="superscript"/>
                <w:rtl w:val="0"/>
              </w:rPr>
              <w:t xml:space="preserve">1</w:t>
            </w:r>
            <w:r w:rsidR="00000000" w:rsidRPr="00000000" w:rsidDel="00000000">
              <w:rPr>
                <w:rtl w:val="0"/>
              </w:rPr>
              <w:t xml:space="preserve"> panta pirmajā daļā ir paredzēts, ka transportlīdzekļu vadītāju izdarītie administratīvie pārkāpumi tiek reģistrēti Sodu reģistrā. Savukārt pārkāpumu uzskaites punkti — reģistrā. Līdz ar to reģistrā ir iekļaujama informācija tikai par izdarīto pārkāpumu, nevis par piemēroto sodu par attiecīgo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projektā, ne anotācijā vai izziņā nav norādīts tiesiskais pamatojums šādu ziņu apstrādei, kā arī to apstrādes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atbildības likuma 162. panta piektā daļa noteic, ka persona, kurai ir piemērots administratīvais sods par šā panta pirmajā daļā minētajiem pārkāpumiem, netiek uzskatīta par administratīvi sodītu. Minētais regulējums norāda tikai to, ka šāda persona ir atzīstama par administratīvi nesodītu (nav administratīvās sodāmības). Tomēr persona tāpat ir izdarījusi administratīvu pārkāpumu, tai ir pienākums izpildīt nolēmumu par sodu, kā arī tai var tikt piemēroti nozaru likumā noteikti ierobežojumi, ja tā izvairās no soda izpildes. Administratīvās atbildības likuma 162. pants nekādā veidā neregulē ziņu iekļaušanu Sodu reģistrā vai kādā citā informācijas sistēmā. Līdz ar to minētais pants nav atzīstams par projektā paredzēto ziņu (datu) apstrādes tiesisko pamatu. Turklāt Ceļu satiksmes likumā esošais pilnvarojums Ministru kabinetam pamatā nevar attiekties uz administratīvā pārkāpuma procesa datu apstrādi (izņēmums varētu būt saistībā ar papildsodu izpildes kārtību, ievērojot Administratīvās atbildības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minēts Administratīvās atbildības likuma 162. pants. No tā secināms, ja šā likuma 163. pantā minētajā gadījumā pieņem lēmumu par soda piemērošanu transportlīdzekļa vadītājam, tad ziņas par sodu vairs neiekļaus šajā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Ceļu satiksmes likuma 43.</w:t>
            </w:r>
            <w:r w:rsidR="00000000" w:rsidRPr="00000000" w:rsidDel="00000000">
              <w:rPr>
                <w:vertAlign w:val="superscript"/>
                <w:rtl w:val="0"/>
              </w:rPr>
              <w:t xml:space="preserve">7</w:t>
            </w:r>
            <w:r w:rsidR="00000000" w:rsidRPr="00000000" w:rsidDel="00000000">
              <w:rPr>
                <w:rtl w:val="0"/>
              </w:rPr>
              <w:t xml:space="preserve"> panta otrā daļa nekādā veidā nav saistīta ar sodu piemērošanu vai datu par tiem apstrādi. Tas, ka policija izmanto informāciju, kas par iespējamo pārkāpumu saņemta no tehniskiem līdzekļiem, vai CSDD sagatavo šīs ziņas par iespējamo pārkāpumu, neskar ziņu par sodu iekļaušanu vai glabāšanu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Vienlaikus lūdzam izvērtēt Ceļu satiksmes likumā un projektā esošā regulējuma atbilstību un piemērotību, lai īstenotu likumprojektā "Grozījumi Administratīvās atbildības likumā" (Nr.</w:t>
            </w:r>
            <w:r w:rsidR="00000000" w:rsidRPr="00000000" w:rsidDel="00000000">
              <w:rPr>
                <w:rtl w:val="0"/>
              </w:rPr>
              <w:t xml:space="preserve"> </w:t>
            </w:r>
            <w:r w:rsidR="00000000" w:rsidRPr="00000000" w:rsidDel="00000000">
              <w:rPr>
                <w:b w:val="1"/>
                <w:rtl w:val="0"/>
              </w:rPr>
              <w:t xml:space="preserve">615/Lp14) paredzēto</w:t>
            </w:r>
            <w:r w:rsidR="00000000" w:rsidRPr="00000000" w:rsidDel="00000000">
              <w:rPr>
                <w:rtl w:val="0"/>
              </w:rPr>
              <w:t xml:space="preserve">, ka reģistru administratīvā pārkāpuma procesā izmanto, lai nodrošinātu procesa īstenošanu par šā likuma 162. panta pirmajā daļā minēto administratīvo pārkāpumu. Lūdzam šo izvērtējumu atspoguļot izziņā, ja jauns regulējums tam nebūs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projekts un Ceļu satiksmes likumā esošais regulējums skaidri neregulē, kā tiek īstenota papildsodu izpilde šajā jomā. Likumprojektā "Grozījumi Administratīvās atbildības likumā" ir paredzēts, ka arī papildsodu izpildes īpatnības var noteikt nozares likumā. Ja projekts attiecas uz papildsodu izpildi, tad lūdzam ietvert precīzu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Informāciju par fiziskajai personai piederošu transportlīdzekli vai kuģošanas līdzekli, identificējot personas datus, ir tiesības iegūt: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Ceļu satiksmes likuma 14.</w:t>
            </w:r>
            <w:r w:rsidR="00000000" w:rsidRPr="00000000" w:rsidDel="00000000">
              <w:rPr>
                <w:vertAlign w:val="superscript"/>
                <w:rtl w:val="0"/>
              </w:rPr>
              <w:t xml:space="preserve">1</w:t>
            </w:r>
            <w:r w:rsidR="00000000" w:rsidRPr="00000000" w:rsidDel="00000000">
              <w:rPr>
                <w:rtl w:val="0"/>
              </w:rPr>
              <w:t xml:space="preserve"> panta pirmajā daļā ir minēta informācija par fiziskajai personai piederošu </w:t>
            </w:r>
            <w:r w:rsidR="00000000" w:rsidRPr="00000000" w:rsidDel="00000000">
              <w:rPr>
                <w:u w:val="single"/>
                <w:rtl w:val="0"/>
              </w:rPr>
              <w:t xml:space="preserve">transportlīdzekli</w:t>
            </w:r>
            <w:r w:rsidR="00000000" w:rsidRPr="00000000" w:rsidDel="00000000">
              <w:rPr>
                <w:rtl w:val="0"/>
              </w:rPr>
              <w:t xml:space="preserve">, identificējot personas datus, fiziskajai personai reģistrētiem pārkāpumu uzskaites punktiem, juridiskajai personai piederošu speciālo militāro transportlīdzekli un tā piekabi, kā arī </w:t>
            </w:r>
            <w:r w:rsidR="00000000" w:rsidRPr="00000000" w:rsidDel="00000000">
              <w:rPr>
                <w:u w:val="single"/>
                <w:rtl w:val="0"/>
              </w:rPr>
              <w:t xml:space="preserve">speciālo militāro tehniku un tās piekabi</w:t>
            </w:r>
            <w:r w:rsidR="00000000" w:rsidRPr="00000000" w:rsidDel="00000000">
              <w:rPr>
                <w:rtl w:val="0"/>
              </w:rPr>
              <w:t xml:space="preserve"> un izmeklēšanas iestāžu un operatīvās darbības subjektu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14. punkta ievaddaļā cita starpā ir minēta informācija par fiziskajai personai piederošu </w:t>
            </w:r>
            <w:r w:rsidR="00000000" w:rsidRPr="00000000" w:rsidDel="00000000">
              <w:rPr>
                <w:u w:val="single"/>
                <w:rtl w:val="0"/>
              </w:rPr>
              <w:t xml:space="preserve">kuģošanas līdzekli</w:t>
            </w:r>
            <w:r w:rsidR="00000000" w:rsidRPr="00000000" w:rsidDel="00000000">
              <w:rPr>
                <w:rtl w:val="0"/>
              </w:rPr>
              <w:t xml:space="preserve">. Turklāt anotācijas 1.3. apakšsadaļā ir norādīts, ka atbilstoši Ceļu satiksmes likuma 4. panta piektajā daļā cita starpā ir noteikti CSDD pienākumi, lai nodrošinātu </w:t>
            </w:r>
            <w:r w:rsidR="00000000" w:rsidRPr="00000000" w:rsidDel="00000000">
              <w:rPr>
                <w:u w:val="single"/>
                <w:rtl w:val="0"/>
              </w:rPr>
              <w:t xml:space="preserve">kuģošanas līdzekļu reģistrācijas un vadītāju apliecību izsniegšanu u.tml., tomēr Ceļu satiksmes likuma 4. panta piektajā daļā nav šāda regulējuma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projektā nav minēta informācija par </w:t>
            </w:r>
            <w:r w:rsidR="00000000" w:rsidRPr="00000000" w:rsidDel="00000000">
              <w:rPr>
                <w:u w:val="single"/>
                <w:rtl w:val="0"/>
              </w:rPr>
              <w:t xml:space="preserve">speciālo militāro tehniku un tās piekabi</w:t>
            </w:r>
            <w:r w:rsidR="00000000" w:rsidRPr="00000000" w:rsidDel="00000000">
              <w:rPr>
                <w:rtl w:val="0"/>
              </w:rPr>
              <w:t xml:space="preserve">, bet anotācijā nav informācijas, kurā normatīvajā aktā būs attiecīgais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projekta 14. un 16. punkta ievaddaļā ietvertā regulējuma atbilstību Ceļu satiksmes likuma 14.</w:t>
            </w:r>
            <w:r w:rsidR="00000000" w:rsidRPr="00000000" w:rsidDel="00000000">
              <w:rPr>
                <w:vertAlign w:val="superscript"/>
                <w:rtl w:val="0"/>
              </w:rPr>
              <w:t xml:space="preserve">1</w:t>
            </w:r>
            <w:r w:rsidR="00000000" w:rsidRPr="00000000" w:rsidDel="00000000">
              <w:rPr>
                <w:rtl w:val="0"/>
              </w:rPr>
              <w:t xml:space="preserve"> panta pirmajā daļā ietvertajam regulējumam un nepieciešamības gadījumā precizēt to, kā arī precizēt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projekts tiek virzīts kā jaunu Ministru kabineta noteikumu projekts, nevis grozījumu Ministru kabineta 2019. gada 30. aprīļa noteikumos Nr. 185 "Transportlīdzekļu un to vadītāju valsts reģistra noteikumi" projekts, līdz ar to attiecīgi aizpildāma arī anotācija, sniedzot skaidrojumus par projektā ietverto regulējumu kopumā, tai skaitā ietverto datu apstrādi. Norādām, ka uzskaitītie tiesību akti nesniedz skaidrību par personas datu apstrādes tiesisko pamatu. Ņemot vērā minēto, atkārtoti lūdzam aizpildīt anotācijas 8.1.13. apakšdaļu atbilstoši Valsts kancelejas izstrādātajām Vadlīnijām tiesību akta projekta sākotnējās ietekmes novērtēšanai un novērtējuma ziņojuma sagatavošanai vienotajā tiesību aktu izstrādes un saskaņošanas portālā (https://www.mk.gov.lv/sites/mk/files/media_file/tap_anotacija_vadlinijas.pdf, skat. 54 -55 lpp.). Lūdzam anotācijā norādīt tiesisko pamatu (ārējo tiesību aktu un </w:t>
            </w:r>
            <w:r w:rsidR="00000000" w:rsidRPr="00000000" w:rsidDel="00000000">
              <w:rPr>
                <w:u w:val="single"/>
                <w:rtl w:val="0"/>
              </w:rPr>
              <w:t xml:space="preserve">tā normu</w:t>
            </w:r>
            <w:r w:rsidR="00000000" w:rsidRPr="00000000" w:rsidDel="00000000">
              <w:rPr>
                <w:rtl w:val="0"/>
              </w:rPr>
              <w:t xml:space="preserve">) un nolūku par katru apstrādi, lai būtu iespējams izvērtēt datu apstrādes tiesiskumu.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apakšsadaļā ietverto informāciju par to, ko paredz Ceļu satiksmes likuma 4. panta piektā daļa un 14.</w:t>
            </w:r>
            <w:r w:rsidR="00000000" w:rsidRPr="00000000" w:rsidDel="00000000">
              <w:rPr>
                <w:vertAlign w:val="superscript"/>
                <w:rtl w:val="0"/>
              </w:rPr>
              <w:t xml:space="preserve">1</w:t>
            </w:r>
            <w:r w:rsidR="00000000" w:rsidRPr="00000000" w:rsidDel="00000000">
              <w:rPr>
                <w:rtl w:val="0"/>
              </w:rPr>
              <w:t xml:space="preserve">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21.11.2024. 09.16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21.11.2024. 09.16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