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problēmas, kuras secinājums ir, ka jāprecizē noteikumu Nr.333 3.punkts, risinājuma aprakstu nosakot, ka informāciju par maksas pakalpojumu izcenojumu aprēķiniem, un informāciju par maksāšanas un līdzekļu atmaksas nosacījumiem, kas atbilst pakalpojuma sniegšanas specifikai, ir jāapraksta konkrētā maksas pakalpojuma kartītē VIRSIS Vienotajā reģistrā. Tādējādi tiks nodrošināta vienveidīga informācijas atspoguļošana visos pakalpojumu katalogos, tostarp latvija.gov.lv un business.gov.lv un pakalpojuma saņēmējam šī informācija būs pieejama vienuviet.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Triju darbdienu laikā pēc attiecīgās iestādes vai valsts aģentūras sniegto maksas pakalpojumu cenrāža oficiālās publikācijas (paziņošanas), maksas pakalpojumu sniedzējs saskaņā ar normatīvo aktu prasībām attiecībā uz pakalpojumu uzskaites, kvalitātes kontroles un sniegšanas kārtību, Valsts vienotā reģistrā (VIRSIS) konkrētā maksas pakalpojuma kartītei pievieno cenrādi un tā izcenojumu aprēķinu (datnes), vai kartītē norāda saiti uz attiecīgās iestādes tīmekļa vietu, kur cenrādis un tā izcenojuma aprēķins ir publicēts, tādējādi nodrošinot pieejamību centralizētajos pakalpojumu katalogos, tostarp latvija.gov.lv un business.gov.lv. Savukārt savā vai ministrijas (citas centrālās valsts iestādes) tīmekļa vietnē atbilstoši normatīvo aktu prasībām par informācijas ievietošanu internetā ietver saiti uz attiecīgo maksas pakalpojumu aprakstu pakalpojumu katalogā, informāciju par maksas pakalpojumu izcenojumu aprēķiniem, un informāciju par maksāšanas un līdzekļu atmaksas nosacījumiem, kas atbilst pakalpojuma sniegšanas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3.punkta redakciju paredzot, ka informāciju par maksas pakalpojumu izcenojumu aprēķiniem, un informāciju par maksāšanas un līdzekļu atmaksas nosacījumiem, kas atbilst pakalpojuma sniegšanas specifikai, ir jāapraksta konkrētā maksas pakalpojuma kartītē VIRSIS Vienotajā reģistrā. Tādējādi tiks nodrošināta vienveidīga informācijas atspoguļošana visos pakalpojumu katalogos, tostarp latvija.gov.lv un business.gov.lv un pakalpojuma saņēmējam šī informācija būs pieejama vienuviet.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