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4. aprīļa noteikumos Nr. 168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īstenošanu līdz 2026. gada 30. novembrim un noslēguma maksājumu līdz 2026. gada 31. decembrim. Vienlaikus anotācijā atzīts, ka darbu īstenošanai vēl nepieciešams veikt iepirkuma procedūru, noslēgt sadarbības līgumus ar pašvaldībām un grozīt vienošanos starp Centrālo finanšu un līgumu aģentūru un ministriju. Ievērojot saspringto termiņu, pastāv reāls risks, ka atsevišķos gadījumos darbus neizdosies pabeigt un sertificēt noteiktajā termiņā. Saskaņošanas gaitā uz šo risku jau norādīja arī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anotācijā skaidrot, kura puse sedz izmaksas gadījumā, ja darbi netiek pabeigti vai sertificēti līdz Atveseļošanas fonda finansējuma attiecināmības termiņam, un nodrošināt, ka ar pašvaldībām slēdzamajos sadarbības līgumos pašvaldība netiek nostādīta situācijā, kurā tai jāuzņemas neattiecināmās izmaksas par no tās neatkarīgu termiņa kavējumu.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ietvaros izveidotā datu pārraides infrastruktūra (tostarp pieslēgumu izveide un būvdarbi) pēc projekta paliek izglītības iestāžu un to dibinātāju – pašvaldību – valdījumā. Anotācijā apgalvots, ka grozījumi nepalielina pašvaldību finanšu slogu, taču tā nesatur izvērtējumu par infrastruktūras uzturēšanas un ekspluatācijas izmaksām pēc projekta noslēguma, kā arī par projekta rezultātu ilgtspējas nodrošināšanu noteiktajā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rosina papildināt anotāciju ar izvērtējumu par datu pārraides infrastruktūras un interneta pakalpojuma uzturēšanas un ekspluatācijas izmaksām pēc projekta pabeigšanas, norādot, vai un kādā apmērā šīs izmaksas radīs slogu pašvaldību budžetiem, un attiecīgi precizēt anotācijas apgalvojumu par ietekmi uz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datu pārraides interneta pakalpojuma un iekštīkla funkcionēšanas uzlabojumi šo noteikumu </w:t>
            </w:r>
            <w:r w:rsidR="00000000" w:rsidRPr="00000000" w:rsidDel="00000000">
              <w:rPr>
                <w:rtl w:val="0"/>
              </w:rPr>
              <w:t xml:space="preserve">8.2.</w:t>
            </w:r>
            <w:r w:rsidR="00000000" w:rsidRPr="00000000" w:rsidDel="00000000">
              <w:rPr>
                <w:rtl w:val="0"/>
              </w:rPr>
              <w:t xml:space="preserve"> apakšpunktā</w:t>
            </w:r>
            <w:r w:rsidR="00000000" w:rsidRPr="00000000" w:rsidDel="00000000">
              <w:rPr>
                <w:rtl w:val="0"/>
              </w:rPr>
              <w:t xml:space="preserve"> minēto sadarbības partneru izglītības iestādēs mācību procesa nodrošināšanai, tostarp nepieciešamās priekšizpētes veikšana ekonomiski pamatota uzlabojumu plāna izstrādei un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finansējums datu pārraides tīklu modernizācijai tiek novirzīts “prioritārajām pašvaldību izglītības iestādēm”, kas identificētas priekšizpētes (noteikumu 4.3. apakšpunkts) rezultātā. Tomēr ne noteikumu 14.2. apakšpunktā, ne citviet regulējumā nav noteikti skolu atlases un finansējuma sadales kritēriji. Atšķirībā no sākotnējās projekta redakcijas, kurā bija paredzēta proporcionāla sadales formula, galīgajā redakcijā sadale faktiski paliek finansējuma saņēmēja (Izglītības un zinātnes ministrijas) ziņā bez publiskas metodikas.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papildināt anotāciju ar skaidru prioritāro izglītības iestāžu atlases un finansējuma sadales metodiku (kritērijiem, pamatojumu, sasaisti ar priekšizpētes rezultātiem), lai nodrošinātu vienlīdzīgu attieksmi pret visu pašvaldību dibinātajām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26-TA-120</w:t>
    </w:r>
    <w:r>
      <w:br/>
    </w:r>
    <w:r w:rsidR="00000000" w:rsidRPr="00000000" w:rsidDel="00000000">
      <w:rPr>
        <w:rtl w:val="0"/>
      </w:rPr>
      <w:t xml:space="preserve">Izdrukāts 11.06.2026. 13.10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26-TA-120</w:t>
    </w:r>
    <w:r>
      <w:br/>
    </w:r>
    <w:r w:rsidR="00000000" w:rsidRPr="00000000" w:rsidDel="00000000">
      <w:rPr>
        <w:rtl w:val="0"/>
      </w:rPr>
      <w:t xml:space="preserve">Izdrukāts 11.06.2026. 13.10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Atzinumi_26-TA-120.docx</dc:title>
</cp:coreProperties>
</file>

<file path=docProps/custom.xml><?xml version="1.0" encoding="utf-8"?>
<Properties xmlns="http://schemas.openxmlformats.org/officeDocument/2006/custom-properties" xmlns:vt="http://schemas.openxmlformats.org/officeDocument/2006/docPropsVTypes"/>
</file>