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programmas "Mazo un vidējo saimnieciskās darbības veicēju kiberdrošības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Grantu līdzfinansējumu piešķir tikai projekta tiešo attiecināmo izmaksu segšanai. Maksimālā finansējuma intensitāte ir 50% no kopējām projekta attiecināmajām izmaksām. Projekta attiecināmo izmaksu atlikušo daļu, kā arī projekta netiešās attiecināmās izmaksas un neattiecināmās izmaksas sedz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noteikumu projekta ir svītrojamas normas par netiešo attiecināmo izmaksu norādīšanu ( skat. komentāru pie 14.punkta) , lūdzu precizēt arī 6.punkta redakciju, nodrošinot korektu ierobežojumu un atbalsta intensitātes noteikšanu (attiecīgi 50 % atbalsta intensitāti aprēķinot tikai no projekta tiešajām attiecināmajām izmaksām kā norādīts noteikumu projekta anotācijā, nevis kopējām ( jo netiešajām izmaksām nav paredzēts piešķirt granta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“Grantu līdzfinansējumu piešķir projekta tiešo attiecināmo izmaksu segšanai. Maksimālā finansējuma intensitāte ir 50% no projekta tiešajām attiecināmajām izmaksām. Projekta attiecināmo izmaksu atlikušo daļu, kas pārsniedz noteiktos ierobežojumus sedz finansējuma saņēmējs. Projekta netiešās izmaksas un neattiecināmās izmaksas projekta iesniegumā neplāno.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Germa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Netiešās attiecināmās izmaksas plāno kā vienu izmaksu pozīciju, neiesniedzot izdevumu pamatojošos dokumentus par netiešo izmaksu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sniegto informāciju ( skat. izziņas 66.punkts), un to ka norādīts, ka ņemts vērā priekšlikums, atkārtoti lūdzam izvērtēt un svītrot noteikumos nosacījumus par netiešo attiecināmo izmaksu plānošanu projekta iesniegumā. Attiecīgi lūdzam svītrot 14. un 15.punktu, jo minētajām izmaksām granta finansējumu nepiešķir un attiecīgi arī projektā nav plānojamas un uzrādāmas.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Germa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Netiešo attiecināmo izmaksu apmērs nepārsniedz 7 procentus no projekta tiešajām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sniegto informāciju ( skat. izziņas 66.punkts), un to ka norādīts, ka ņemts vērā priekšlikums, atkārtoti lūdzam izvērtēt un svītrot noteikumos nosacījumus par netiešo attiecināmo izmaksu plānošanu projekta iesniegumā. Attiecīgi lūdzam svītrot 14. un 15.punktu, jo minētajām izmaksām granta finansējumu nepiešķir un attiecīgi arī projektā nav plānojamas un uzrādāmas.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Germa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Atbilstoši Regulas Nr. 2023/2831 6. panta 3. punktam aģentūra nodrošina informācijas uzglabāšanu 10 gadus, sākot no dienas, kad ir piešķirts pēdējais atbalsts saskaņā ar šiem noteikumiem, savukārt finansējuma saņēmējs nodrošina informācijas uzglabāšanu desmit gadus, skaitot no grantu līdzfinansējuma piešķiršanas brīža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regulas Nr.2023/2831 6.panta 3.punkts nosaka, ka "</w:t>
            </w:r>
            <w:r w:rsidR="00000000" w:rsidRPr="00000000" w:rsidDel="00000000">
              <w:rPr>
                <w:i w:val="1"/>
                <w:rtl w:val="0"/>
              </w:rPr>
              <w:t xml:space="preserve">Dalībvalstis reģistrēto informāciju par de minimis atbalstu glabā 10 gadus no atbalsta piešķiršanas dienas</w:t>
            </w:r>
            <w:r w:rsidR="00000000" w:rsidRPr="00000000" w:rsidDel="00000000">
              <w:rPr>
                <w:rtl w:val="0"/>
              </w:rPr>
              <w:t xml:space="preserve">", taču vienlaikus Komisijas regulas Nr. 2023/2831 6. panta 7. punkts nosaka, ka </w:t>
            </w:r>
            <w:r w:rsidR="00000000" w:rsidRPr="00000000" w:rsidDel="00000000">
              <w:rPr>
                <w:i w:val="1"/>
                <w:rtl w:val="0"/>
              </w:rPr>
              <w:t xml:space="preserve">“pēc rakstiska Komisijas pieprasījuma attiecīgā dalībvalsts 20 darbdienu laikā vai tādā ilgākā laikposmā, kāds noteikts pieprasījumā, sniedz Komisijai visu informāciju, kuru Komisija uzskata par vajadzīgu, lai novērtētu, vai šīs regulas nosacījumi ir izpildīti, un jo īpaši informāciju par uzņēmuma saņemto de minimis atbalsta kopsummu šīs regulas un citu de minimis regulu nozīmē</w:t>
            </w:r>
            <w:r w:rsidR="00000000" w:rsidRPr="00000000" w:rsidDel="00000000">
              <w:rPr>
                <w:rtl w:val="0"/>
              </w:rPr>
              <w:t xml:space="preserve">”, tādējādi pastāv gadījumi, ka Eiropas Komisija, ievērojot Padomes Regulā (ES) 2015/1589 (2015. gada 13. jūlijs), ar ko nosaka sīki izstrādātus noteikumus Līguma par Eiropas Savienības darbību 108. panta piemērošanai (kodificēta redakcija) (jeb Procesuālā regula) noteikto 10 gadu pēcuzraudzības noilguma periodu saistībā ar nelikumīga un nesaderīga komercdarbības atbalsta atgūšanu, var pieprasīt dalībvalstīm iesniegt informāciju, kas pārsniedz Komisijas regulas Nr.2023/2831 6.panta 1.punktā ietverto informācijas apjomu, lūdzam vai nu papildināt noteikumu projekta 29.punktā minēto atsauci uz Komisijas regulas Nr.2023/2831 6.panta 3.puktu ar atsauci arī uz Komisijas regulas Nr.2023/2831 6.panta 7.punktu, vai arī dzēst atsauci uz Komisijas regulas Nr.2023/2831 6.panta 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noteikumu projekta svītrojamas normas par netiešo attiecināmo izmaksu plānošanu un norādīšanu, vienlaikus lūdzam redakcionāli precizēt arī informāciju anotācijā 1.3. punktā sadaļā "</w:t>
            </w:r>
            <w:r w:rsidR="00000000" w:rsidRPr="00000000" w:rsidDel="00000000">
              <w:rPr>
                <w:b w:val="1"/>
                <w:rtl w:val="0"/>
              </w:rPr>
              <w:t xml:space="preserve">Projektu attiecināmās izmaksas</w:t>
            </w:r>
            <w:r w:rsidR="00000000" w:rsidRPr="00000000" w:rsidDel="00000000">
              <w:rPr>
                <w:rtl w:val="0"/>
              </w:rPr>
              <w:t xml:space="preserve">" svītrojot attiecīgi norādīto informāciju par netiešajām attiecināmājām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Germa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27.punkts paredz, ka: "P</w:t>
            </w:r>
            <w:r w:rsidR="00000000" w:rsidRPr="00000000" w:rsidDel="00000000">
              <w:rPr>
                <w:i w:val="1"/>
                <w:rtl w:val="0"/>
              </w:rPr>
              <w:t xml:space="preserve">ar atbalsta piešķiršanas brīdi uzskata dienu, kad pieņemts aģentūras lēmums par projekta iesnieguma apstiprināšanu vai atzinuma par nosacījumu izpildi pieņemšanas brīdi, ja ir bijis pieņemts lēmums par projekta iesnieguma apstiprināšanu ar nosacījumu. </w:t>
            </w:r>
            <w:r w:rsidR="00000000" w:rsidRPr="00000000" w:rsidDel="00000000">
              <w:rPr>
                <w:rtl w:val="0"/>
              </w:rPr>
              <w:t xml:space="preserve">", savukārt anotācijā minēts, ka: "</w:t>
            </w:r>
            <w:r w:rsidR="00000000" w:rsidRPr="00000000" w:rsidDel="00000000">
              <w:rPr>
                <w:i w:val="1"/>
                <w:rtl w:val="0"/>
              </w:rPr>
              <w:t xml:space="preserve">Minētais atbalsts par piešķirtu tiek uzskatīts brīdī, kad ir noslēgts projekta līgums.</w:t>
            </w:r>
            <w:r w:rsidR="00000000" w:rsidRPr="00000000" w:rsidDel="00000000">
              <w:rPr>
                <w:rtl w:val="0"/>
              </w:rPr>
              <w:t xml:space="preserve">", lūdzam novērst šo pretrunu un atbilstoši precizēt vai nu anotāciju, vai noteikumu projekta 27.punktu.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un papildināt anotācijas 5.sadaļas 1.tabulu ar noteikumu projekta punktu atbilstības izvērtējumu pret Komisijas regulu Nr.2023/2831.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23-TA-1471</w:t>
    </w:r>
    <w:r>
      <w:br/>
    </w:r>
    <w:r w:rsidR="00000000" w:rsidRPr="00000000" w:rsidDel="00000000">
      <w:rPr>
        <w:rtl w:val="0"/>
      </w:rPr>
      <w:t xml:space="preserve">Izdrukāts 31.01.2024. 15.13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23-TA-1471</w:t>
    </w:r>
    <w:r>
      <w:br/>
    </w:r>
    <w:r w:rsidR="00000000" w:rsidRPr="00000000" w:rsidDel="00000000">
      <w:rPr>
        <w:rtl w:val="0"/>
      </w:rPr>
      <w:t xml:space="preserve">Izdrukāts 31.01.2024. 15.13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Atzinumi_23-TA-1471.docx</dc:title>
</cp:coreProperties>
</file>

<file path=docProps/custom.xml><?xml version="1.0" encoding="utf-8"?>
<Properties xmlns="http://schemas.openxmlformats.org/officeDocument/2006/custom-properties" xmlns:vt="http://schemas.openxmlformats.org/officeDocument/2006/docPropsVTypes"/>
</file>