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7. janvāra noteikumos Nr. 16 "Trokšņa novērtēšanas un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anotācijas 1.3. apakšpunkta sadaļas </w:t>
            </w:r>
            <w:r w:rsidR="00000000" w:rsidRPr="00000000" w:rsidDel="00000000">
              <w:rPr>
                <w:i w:val="1"/>
                <w:rtl w:val="0"/>
              </w:rPr>
              <w:t xml:space="preserve">Problēmas apraksts</w:t>
            </w:r>
            <w:r w:rsidR="00000000" w:rsidRPr="00000000" w:rsidDel="00000000">
              <w:rPr>
                <w:rtl w:val="0"/>
              </w:rPr>
              <w:t xml:space="preserve"> pēdējo teikumu, pareizi norādot institūciju, saskaņā ar kuras 2023. gada 18.aprīļa sēdes protokollēmuma (prot. Nr.1, 2.§) 1. punktu nosakāmi minētie satiksmes vides trokšņu robežlielumi.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</w:t>
            </w:r>
            <w:r w:rsidR="00000000" w:rsidRPr="00000000" w:rsidDel="00000000">
              <w:rPr>
                <w:u w:val="single"/>
                <w:rtl w:val="0"/>
              </w:rPr>
              <w:t xml:space="preserve">Komitejas</w:t>
            </w:r>
            <w:r w:rsidR="00000000" w:rsidRPr="00000000" w:rsidDel="00000000">
              <w:rPr>
                <w:rtl w:val="0"/>
              </w:rPr>
              <w:t xml:space="preserve">  2023. gada 18.aprīļa sēdes </w:t>
            </w:r>
            <w:r w:rsidR="00000000" w:rsidRPr="00000000" w:rsidDel="00000000">
              <w:rPr>
                <w:u w:val="single"/>
                <w:rtl w:val="0"/>
              </w:rPr>
              <w:t xml:space="preserve">protokola</w:t>
            </w:r>
            <w:r w:rsidR="00000000" w:rsidRPr="00000000" w:rsidDel="00000000">
              <w:rPr>
                <w:rtl w:val="0"/>
              </w:rPr>
              <w:t xml:space="preserve"> (prot. Nr.1, 2.§) 1. punktu satiksmes vides trokšņu robežlielumi nosakāmi: Ldiena=65 (dB(A)); Lvakars=60(dB(A)); Lnakts=55(dB(A)), nodrošinot to izlīdzināšanu Baltijas mērogā.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Skaidrīte Ivanišaka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30.08.2023.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30.08.2023.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