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Profesionālās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izslēgtu komercdarbības atbalsta sniegšanas riskus kredītiestāžu līmenī, tās ir jāizvēlas, organizējot iepirkumu un nodrošinot atklātu, pārredzamu, nediskriminējošu kredītiestāžu pieteikšanos, attiecīgi šobrīd anotācijā norādītais par kredītiestāžu pašnoteikšanos to nenodrošina. Ievērojot minēto, lūdzam precizēt anotāciju tā, lai būtu nepārprotami skaidra kredītiestāžu izvēles procedūras kārtība, kas izslēgtu komercdarbības atbalstu kredītiestāžu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03.11.2023.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03.11.2023.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Atzinumi_23-TA-393.docx</dc:title>
</cp:coreProperties>
</file>

<file path=docProps/custom.xml><?xml version="1.0" encoding="utf-8"?>
<Properties xmlns="http://schemas.openxmlformats.org/officeDocument/2006/custom-properties" xmlns:vt="http://schemas.openxmlformats.org/officeDocument/2006/docPropsVTypes"/>
</file>