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24-TA-41: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2.1.1. specifiskā atbalsta mērķa "Energoefektivitātes veicināšana un siltumnīcefekta gāzu emisiju samazināšana” 2.1.1.3. pasākuma "AER izmantošana un energoefektivitātes paaugstināšana lokālajā un individuālajā siltumapgādē un aukstumapgādē" pirmās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Pasākuma ietvaros plānotais kopējais finansējums ir līdz 756 096 euro, tai skaitā Kohēzijas fonda finansējums – 299 934 euro un privātais finansējums – 456 162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fondu uz ERAF.</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Upeniece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Lai pretendētu uz atbalstu pasākuma ietvaros, projekta iesniedzējam ar pašvaldību jābūt noslēgtam līgumam par centralizētās siltumapgādes pakalpojuma sniegšanu ar vispārēju tautsaimniecisku nozīmi.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37.punktā noteikto, ka komercdarbības atbalsts tiek piešķirts 4.3.1. specifiskā atbalsta mērķa "Veicināt energoefektivitāti un vietējo AER izmantošanu centralizētajā siltumapgādē" ietvaros, kur noteikti visi ar komercdarbības atbalstu saistītie nosacījumi, t.sk. ka projekta iesniedzējam ar pašvaldību jābūt noslēgtam līgumam par centralizētās siltumapgādes pakalpojuma sniegšanu ar vispārēju tautsaimniecisku nozīmi (kur attiecināms), lūdzam noteikumu 12.punktu svītrot.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Projekta iesniedzējam ir īpašuma vai valdījuma tiesības vai apbūves tiesība uz nekustamo īpašumu, tai skaitā zemi un infrastruktūru, kurā tiks veiktas projektā paredzētās darbības, uz termiņu, kas nav mazāks par pieciem gadiem pēc noslēguma maksājuma veikšanas. Siltumenerģijas pārvades un sadales sistēma (infrastruktūra), kurā paredzēts veikt ieguldījumus projekta ietvaros, ir projekta iesniedzēja īpašumā, valdījumā vai turējumā uz laiku, kas nav mazāks par pieciem gadiem pēc noslēguma maksājuma veikšanas. Zeme, uz kuras atrodas siltumenerģijas pārvades un sadales sistēma, var nebūt projekta iesniedzēja īpašumā, valdījumā vai turējumā.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14. punktu, jo finansējuma saņēmēja tiesībām uz konkrēto objektu vai īpašumu </w:t>
            </w:r>
            <w:r w:rsidR="00000000" w:rsidRPr="00000000" w:rsidDel="00000000">
              <w:rPr>
                <w:u w:val="single"/>
                <w:rtl w:val="0"/>
              </w:rPr>
              <w:t xml:space="preserve">jābūt nostiprinātām Zemesgrāmatā</w:t>
            </w:r>
            <w:r w:rsidR="00000000" w:rsidRPr="00000000" w:rsidDel="00000000">
              <w:rPr>
                <w:rtl w:val="0"/>
              </w:rPr>
              <w:t xml:space="preserve">. Ja minētajam nosacījumam saskaņā ar nacionālo regulējumu ir izņēmums, tas attiecīgi aprakstāms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Morgana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Finansējuma saņēmējs ievēro principu "Nenodarīt būtisku kaitējumu", kas atbilst ​Eiropas Parlamenta un Padomes 2020. gada 18. jūnija Regulas (ES) 2020/852  par regulējuma izveidi ilgtspējīgu ieguldījumu veicināšanai un ar ko groza regulu (ES) 2019/2088 18. pantam un normatīvajiem aktiem vides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noteikumu projekta anotāciju ar aprakstu, kādi principa "Nenodarīt būtisku kaitējumu" aspekti finansējuma saņēmējam jāievēro, t.sk., par kādiem būs jāatskaitās projekta īstenošanas laikā.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Jana Putniņa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Pasākuma attiecināmās izmaksas 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Nosacījumi Eiropas Savienības fondu 2021.-2027.gada plānošanas periodā nosaka vērtēt iespējami plašāku vienkāršoto izmaksu piemērošanu investīciju īstenošanā. Ņemot vērā, ka regulējums ir izstrādāts ar mērķi rast iespēju projekta īstenošanu pabeigt, to posmojot, aicinām rast iespēju vērtēt, vai konkrētajā gadījumā ir iespējama vienkāršoto izmaksu piemērošana. Ja piemērot vienkāršotās izmaksas nav iespējams, lūdzam atbilstoši pamatojumu norādīt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 būvuzraudzības un autoruzraudzības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nosacījumi  Eiropas Savienības fondu 2021.-2027.gada plānošanas periodā" nosaka, ka projekta iesnieguma pamatojošās dokumentācijas sagatavošanas izmaksas, būvuzraudzības, autoruzraudzības, būvprojekta tehniskā projekta vai skiču projekta stadijā izmaksas, energosertifikācijas un energoaudita izmaksas kopā ir attiecināmas līdz 10% no projekta kopējām attiecināmajām izmaksām, ja tas ir noteikts Ministru kabineta noteikumos par specifiskā atbalsta mērķa īstenošanu (t.sk. veicot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attiecīgi šo ierobežojumu paredzēt Ministru kabineta noteikumos.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 projekta vadības personāla atlīdzības izmaksas, kas radušās uz darba līguma, uzņēmuma vai pakalpojuma līguma pamata, tai skaitā valsts sociālās apdrošināšanas obligātās iemaksas no apliekamajām attiecināmajām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vadības personāla izmaksām piemērot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 55. panta 1.punktā noteikto iespēju, tas ir  izmantot līdz 20% vienoto likmi, ņemot vērā, ka tas samazinās administratīvo slogu visiem iesaistītajiem.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vienotās likmes piemērošana nav iespējama, lūdzam piemērot citu vienkāršoto izmaksu veidu, attiecīgi izstrādājot metodiku un saskaņojot to ar vadošo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ja argumentētu apsvērumu dēļ vienkāršoto izmaksu iespējas personāla izmaksām netiks piemērotas, pamatojumu norādot sākotnējās ietekmes izvērtējumā (anotācijā) un tās rēķinot pēc faktiskajām izmaksām, Eiropas Reģionālā attīstības fonda, Kohēzijas fonda, Taisnīgas pārkārtošanās fonds līdzfinansētajiem projektiem tiek noteikts maksimālais ierobežojums tiešajām projekta vadības personāla izmaksām līdz fiksētajai summai: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projektiem ar tiešajām attiecināmajām izmaksām virs 5 milj. EUR personāla izmaksu Eiropas Savienības fondu daļas ierobežojums tiek noteikts kā fiksēta summa līdz 84 787 EUR kalendārajā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projektos, kuros tiešās attiecināmās izmaksas ir līdz 5 milj. EUR (ieskaitot), ierobežojums tiek aprēķināts pie minimālo izmaksu bāzes 34 422 EUR kalendārajā gadā, pieskaitot 0,64% no projekta tiešajām attiecināmajām izmaksām, neieskaitot tiešās projekta vadības personāla izmaksas, un summu reizinot ar projekta ilgumu gados. Ja projekts ilgst mazāk par gadu vai nepilnos kalendārajos gados, ierobežojums tiek aprēķināts proporcionāli projekta mēnešu skaitam.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minēto, lūdzam veikt attiecīgos precizējumus  noteikumu projektā, kā arī sākotnējās ietekmes izvērtējumā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18.4.3. būvlaukuma teritorijas sakārtošanas izmaksas pēc būvdarbu pabeigšanas, ja tas ir tieši nepieciešams centralizētās siltumapgādes ražošanas avota, siltumenerģijas akumulācijas iekārtas un pārvades un sadales sistēmas rekonstrukcijai, būvniecībai un objektu nodošanai ekspluatācijā;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EM iepriekš sniegtajiem skaidrojumiem SAM 4.3.1. projektu īstenošanā, lūdzam papildināt noteikumu projektu vai arī atsevišķi paskaidrot anotācijā, ka ar būvlaukuma teritorijas sakārtošanas izmaksām pēc būvdarbu pabeigšanas tiek saprastas izmaksas par teritorijas sakopšanas darbiem, izmaksas par teritorijas atbrīvošanu no būvgružiem u.tml., bet netiek akceptētas izmaksas par pievadceļu un piebraukšanas laukumu būvniecību un/vai atjaunošanu.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Dainis Polis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Pievienotās vērtības nodokļa izmaksas šo noteikumu 18. punktā minētajām izmaksu pozīcijām ir attiecināmas, ja tās nav atgūstamas nodokļu politiku  reglamentējošos normatīvajos aktos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nosacījumu "ja tās nav atgūstamas nodokļu politiku reglamentējošajos normatīvajos aktos noteiktajā kārtībā", vienlaikus anotācijā sniedzot informāciju, ka tiks nodrošināts dubultā finansējuma novēršanas risks (ja tiks izmantots vienkāršots pievienotās vērtības nodokļa līdzekļu attiecināšanas princips projektiem, kuru kopējās izmaksas ir mazākas par 5 milj. EUR (ieskaitot PVN)).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Pievienotās vērtības nodokļa izmaksas šo noteikumu 18.punktā minētajām izmaksu pozīcijām ir attiecināmas saskaņā ar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64. panta 1. punkta "c" apakšpunktā ietvertajiem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Projekta iesniegumā neiekļauj un finansējumu nepiešķir  darbībām un izmaksām, kas ir iekļautas Eiropas Savienības struktūrfondu un Kohēzijas fonda 2014.-2020.gada plānošanas perioda darbības programmas "Izaugsme un nodarbinātība" 4.3.1. specifiskā atbalsta mērķa "Veicināt energoefektivitāti un vietējo AER izmantošanu centralizētajā siltumapgādē" projekta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Veicamās darbības abu posmu projektos var pārklāties, līdz ar to lūdzam precizēt, ka finansējums netiek piešķirts pirmā posma projektā faktiski veiktām darbībām un veiktām izmaksām.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izvērtēt, vai 22.punkts nav apvienojams ar 28.punktu, kurā ir saturiski līdzīgi nosacījumi.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Projekta iesniegumā neiekļauj un finansējumu nepiešķir veiktām darbībām un izmaksām, kas ir iekļautas Eiropas Savienības struktūrfondu un Kohēzijas fonda 2014.-2020.gada plānošanas perioda darbības programmas "Izaugsme un nodarbinātība" 4.3.1. specifiskā atbalsta mērķa "Veicināt energoefektivitāti un vietējo AER izmantošanu centralizētajā siltumapgādē" projekta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Dainis Polis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Pasākuma īstenošanas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normu, kas paredz finansējuma saņēmēja pienākumu nodrošināt interešu konflikta neesamību, kā arī parakstīt interešu konflikta neesamības apliecinājumu.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anotāciju, norādot finansējuma saņēmēja pienākumu izstrādāt nosacījumus, kā tas pārliecinās par interešu konflikta, krāpšanas un korupcijas risku neesamību, tostarp identificē apstākļus, kuri izraisa vai var izraisīt interešu konfliktu un krāpšanas un korupcijas riskus, kas rada apdraudējumu vai kaitējumu projekta īstenošanā, nosaka veicamos pasākumus un izstrādā darbības plānu interešu konflikta un krāpšanas un korupcijas risku preventīvai novēršanai un gadījumiem, kad interešu konflikts, krāpšana vai korupcija ir atklāta.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Pasākuma īstenošanas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pienākumu finansējuma saņēmējam, īstenojot projektu, nodrošināt komunikācijas un vizuālās identitātes prasību nodrošināšanas pasākumu ievērošanu atbilstoši Regulas 2021/1060 47. pantam un 50. pantam un normatīvajiem aktiem, kas nosaka kārtību, kādā Eiropas Savienības fondu vadībā iesaistītās institūcijas nodrošina šo fondu ieviešanu 2021. – 2027. gada plānošanas periodā, savukārt noteikumu projekta anotācijā ietvert attiecīgo nosacījumu ievērošanu atbilstoši arī Eiropas Savienības fondu 2021.–2027. gada plānošanas perioda un Atveseļošanas fonda komunikācijas un dizaina vadlīnijām.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Morgana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Pasākuma īstenošanas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un nepieciešamības gadījumā noteikumu projektā norādīt avansa un starpposma maksājuma izmaksāšanas nosacījumus. Ja ir paredzēta iespēja finansējuma saņēmējam izmaksāt avansu, noteikumu projektā jānorāda tā saņemšanas nosacījumi (kā piemēram, avansa apjoms un tā izmaksāšanas kārtība).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Morgana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Pasākuma ietvaros finansējuma saņēmējs projektu īsteno saskaņā ar noslēgto vienošanos ar sadarbības iestādi, bet ne ilgāk kā līdz 2028.gada 31.decembrim.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Eiropas Savienības fondu 2021.—2027. gada plānošanas perioda vadības likuma 18. panta pirmās daļas 1. punkta izriet, ka gadījumā, ja finansējuma saņēmējs ir fiziskā vai juridiskā persona, tai ir pienākums nodrošināt projekta īstenošanu saskaņā ar Eiropas Savienības un Latvijas Republikas normatīvajiem aktiem un </w:t>
            </w:r>
            <w:r w:rsidR="00000000" w:rsidRPr="00000000" w:rsidDel="00000000">
              <w:rPr>
                <w:u w:val="single"/>
                <w:rtl w:val="0"/>
              </w:rPr>
              <w:t xml:space="preserve">līgumu</w:t>
            </w:r>
            <w:r w:rsidR="00000000" w:rsidRPr="00000000" w:rsidDel="00000000">
              <w:rPr>
                <w:rtl w:val="0"/>
              </w:rPr>
              <w:t xml:space="preserve"> par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projekta iesniedzējs ir juridiska persona, lūdzam noteikumu projekta 23. punktā precizēt norādi uz vienošanos par projekta īstenošanu, to aizstājot ar norādi uz līgumu par projekta īstenošanu.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Morgana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Finansējuma saņēmējs nodrošina, ka projekta ietvaros plānotais atbalsts nepārklājas ar citos projektos piešķirto valsts un ārvalstu finanšu atbalsta instrumentu atbalstu un novērš dubultā finansējuma situāciju projekta īstenošanā.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noteikumu projekta 27. punktā vārdus "novērš dubultā finansējuma situāciju" ar vārdiem "nodrošina dubultā finansējuma neiestāšanos", jo finansējuma saņēmējam jānodrošina dubultā finansējuma neiestāšanās, nevis tikai jānovērš jau radusies šāda situācija.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Morgana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Sadarbības iestādei ir tiesības vienpusēji atkāpties no līguma par projekta īstenošanu līgumā noteiktajos gadījumos, kā arī: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sadarbības iestādes tiesības vienpusēji atkāpties no līguma par projekta īstenošanu ir noteiktas Ministru kabineta 2023. gada 13. jūlija noteikumos Nr. 408 "Kārtība, kādā Eiropas Savienības fondu vadībā iesaistītās institūcijas nodrošina šo fondu ieviešanu 2021.–2027. gada plānošanas periodā". Ievērojot minēto, lūdzam svītrot noteikumu projekta 34.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Sadarbības iestāde, izvērtējot finansējuma saņēmēja sniegto un sadarbības iestādes rīcībā esošo informāciju un konstatējot pārkāpumus, pieņem lēmumu par maksājumu apturēšanu vai atgūšanu no finansējuma saņēmēja saskaņā ari vienošanos par projekta īstenošanu vai veic finansējuma atgūšanu, ja konstatē būtiskus pārkāpumus projekta īstenošanas un uzraudzības laikā, tai skaitā 9.punktā minēto rādītāju nesasniegšana.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35. punktā ietvertais regulējums izriet no Eiropas Savienības fondu 2021.-2027. gada plānošanas perioda horizontālajām prasībām, tostarp Ministru kabineta 2023. gada 19. decembra noteikumiem Nr. 802 "Neatbilstību konstatēšanas un neatbilstoši veikto izdevumu atgūšanas kārtība Eiropas Savienības fondu īstenošanā  2021.–2027. gada plānošanas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svītrot noteikumu projekta 35.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tekstā, kur tiek norādīts, ka nepieciešamais posmojamais finansējums ir 299 933,93 EUR, papildināt, ka tas ir ES fondu finansējums, ņemot vērā, ka projekta attiecināmo finansējuma apmēru faktiski veidos arī privātā finansējuma daļa.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Dainis Polis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skaidrojumu komercdarbības atbalsta kontekstā, lūdzam attiecīgo informāciju anotācijā papildināt, ka otrā posma projekts tiek īstenots atbilstoši apstiprinātajiem un piemērojamajiem komercdarbības atbalsta nosacījumiem un projektā netiks iekļautas jaunas darbības vai paredzētas jaunas izmaksas un netiks piešķirts papildu publiskais finansējums, akcentējot, ka mainās tikai finansējuma avots, attiecīgi nav atkārtoti pārvērtējami piemērojamie komercdarbības atbalsta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lūdzu papildināt anotāciju ar skaidrojumu, ka par komercdarbības atbalsta piešķiršanas brīdi uzskata sadarbības iestādes sākotnējā lēmuma par Eiropas Savienības 2014.-2020.gada plānošanas perioda darbības programmas "Izaugsme un nodarbinātība" 4.3.1. specifiskā atbalsta mērķa "Veicināt energoefektivitāti un vietējo AER izmantošanu centralizētajā siltumapgādē" ietvaros īstenotā projekta apstiprināšanu brīdi un gadījumā, ja finansējuma saņēmējs ir mainījis valsts atbalsta shēmu uz VTNP, piemērojot EK lēmumu Nr.2012/21/ES, tad par sākotnējā lēmuma brīdi uzskata līguma grozījumu brīdi.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2.1. sadaļu ar informāciju, ka akciju sabiedrība "Olaines ūdens un siltums" pildīs finansējuma saņēmēja funkcijas, un Ekonomikas ministrija pildīs atbildīgās iestādes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skaidrībai un nepārprotamai interpretācijai precizēt noteikumu projekta 10.punktu vai papildināt MK noteikumu projektu ar jaunu punktu, kurā definēts projekta iesniedzējs - akciju sabiedrība "Olaines ūdens un siltums".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Morgana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3.sadaļu, sniedzot informāciju par 2.1.1.3. pasākuma "AER izmantošana un energoefektivitātes paaugstināšana lokālajā un individuālajā siltumapgādē un aukstumapgādē" pirmās atlases kārtas īstenošanas ietekmi uz valsts budžetu.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24-TA-41</w:t>
    </w:r>
    <w:r>
      <w:br/>
    </w:r>
    <w:r w:rsidR="00000000" w:rsidRPr="00000000" w:rsidDel="00000000">
      <w:rPr>
        <w:rtl w:val="0"/>
      </w:rPr>
      <w:t xml:space="preserve">Izdrukāts 22.02.2024. 21.05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24-TA-41</w:t>
    </w:r>
    <w:r>
      <w:br/>
    </w:r>
    <w:r w:rsidR="00000000" w:rsidRPr="00000000" w:rsidDel="00000000">
      <w:rPr>
        <w:rtl w:val="0"/>
      </w:rPr>
      <w:t xml:space="preserve">Izdrukāts 22.02.2024. 21.05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Atzinumi_24-TA-41.docx</dc:title>
</cp:coreProperties>
</file>

<file path=docProps/custom.xml><?xml version="1.0" encoding="utf-8"?>
<Properties xmlns="http://schemas.openxmlformats.org/officeDocument/2006/custom-properties" xmlns:vt="http://schemas.openxmlformats.org/officeDocument/2006/docPropsVTypes"/>
</file>