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Tiesībsarga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13.pantu ar 13. un 14.punktu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Tiesībsarga likuma 13. pantu ar 13. un 14. punktu. Vēršam uzmanību, ka 2025. gada 2. aprīlī ir stājušies spēkā grozījumi Tiesībsarga likumā, ar kuriem 13. pants ir papildināts ar 13. un 14. punktu, līdz ar to lūdzam precizēt likumprojektā piedāvāto 13. panta punktu numerāciju, izsakot tos kā 15. un 16.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13. pantu ar 15. un 16.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Dreimane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25.04.2025.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25.04.2025.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Atzinumi_25-TA-548.docx</dc:title>
</cp:coreProperties>
</file>

<file path=docProps/custom.xml><?xml version="1.0" encoding="utf-8"?>
<Properties xmlns="http://schemas.openxmlformats.org/officeDocument/2006/custom-properties" xmlns:vt="http://schemas.openxmlformats.org/officeDocument/2006/docPropsVTypes"/>
</file>