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Attīstības sadarbības politikas plāna 2024.–2027. gadam projekta sadaļas IV. Ietekmes novērtējums uz valsts un pašvaldību budžetu 42.pasākumam "Latvijas un Moldovas līguma sociālās drošības jomā noslēgšana" norādīto papildus nepieciešamo finansējumu 2024.gadā 192 027 </w:t>
            </w:r>
            <w:r w:rsidR="00000000" w:rsidRPr="00000000" w:rsidDel="00000000">
              <w:rPr>
                <w:i w:val="1"/>
                <w:rtl w:val="0"/>
              </w:rPr>
              <w:t xml:space="preserve">euro</w:t>
            </w:r>
            <w:r w:rsidR="00000000" w:rsidRPr="00000000" w:rsidDel="00000000">
              <w:rPr>
                <w:rtl w:val="0"/>
              </w:rPr>
              <w:t xml:space="preserve">, ņemot vērā, ka saskaņā ar Ministru kabineta 2023. gada 14. novembra sēdes protokollēmuma Nr.57 18. § "Likumprojekts "Par Latvijas Republikas un Moldovas Republikas līgumu sociālās drošības jomā"" 7.punktu Latvijas Republikas un Moldovas Republikas līguma sociālās drošības jomā Latvijas Republikas pusei paredzēto pasākumu īstenošana ir jānodrošina valsts sociālās apdrošināšanas speciālā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Štrausa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23.32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23.32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