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Starptautisko un nacionālo sankciju ierosināšanas un izpildes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Pamatvajadzību noteikšanas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sankciju subjekta pamatvajadzību </w:t>
            </w:r>
            <w:r w:rsidR="00000000" w:rsidRPr="00000000" w:rsidDel="00000000">
              <w:rPr>
                <w:u w:val="single"/>
                <w:rtl w:val="0"/>
              </w:rPr>
              <w:t xml:space="preserve">uzskaitījums</w:t>
            </w:r>
            <w:r w:rsidR="00000000" w:rsidRPr="00000000" w:rsidDel="00000000">
              <w:rPr>
                <w:rtl w:val="0"/>
              </w:rPr>
              <w:t xml:space="preserve"> sankciju izņēmuma piemērošanas gadījumā var izrietēt arī tieši no tiesību akta, ar ko noteiktas sankcijas, vai arī šādā tiesību aktā var būt noteikts atšķirīgs pamatvajadzību uzskaitījums. Piemēram,  </w:t>
            </w:r>
            <w:r w:rsidR="00000000" w:rsidRPr="00000000" w:rsidDel="00000000">
              <w:rPr>
                <w:i w:val="1"/>
                <w:rtl w:val="0"/>
              </w:rPr>
              <w:t xml:space="preserve">Padomes 2014. gada 17. marta Regulas (ES) Nr. 269/2014 par ierobežojošiem pasākumiem attiecībā uz darbībām, ar ko tiek grauta vai apdraudēta Ukrainas teritoriālā integritāte, suverenitāte un neatkarība</w:t>
            </w:r>
            <w:r w:rsidR="00000000" w:rsidRPr="00000000" w:rsidDel="00000000">
              <w:rPr>
                <w:rtl w:val="0"/>
              </w:rPr>
              <w:t xml:space="preserve"> 4. panta 1.punkts "pamatvajadzības" definē šaurāk nekā, piemēram, projekta 13.punktā noteiktais uzskaitījums. Tostarp tādi sankciju izņēmumu attaisnojoši izdevumi kā samērīga samaksa par kvalificētu darbu un apkalpošanas maksa par iesaldēto līdzekļu vai saimniecisko resursu parastu turēšanu vai pārvaldību (regulas 4.panta 1.punkta (b) un (c) apakšpunkts) ir uzskaitīti </w:t>
            </w:r>
            <w:r w:rsidR="00000000" w:rsidRPr="00000000" w:rsidDel="00000000">
              <w:rPr>
                <w:u w:val="single"/>
                <w:rtl w:val="0"/>
              </w:rPr>
              <w:t xml:space="preserve">atsevišķi</w:t>
            </w:r>
            <w:r w:rsidR="00000000" w:rsidRPr="00000000" w:rsidDel="00000000">
              <w:rPr>
                <w:rtl w:val="0"/>
              </w:rPr>
              <w:t xml:space="preserve"> no pamatvajadzībām (regulas 4.panta 1.punkta (a) apakšpunkts, kas kā pamatvajadzības min "</w:t>
            </w:r>
            <w:r w:rsidR="00000000" w:rsidRPr="00000000" w:rsidDel="00000000">
              <w:rPr>
                <w:i w:val="1"/>
                <w:rtl w:val="0"/>
              </w:rPr>
              <w:t xml:space="preserve">fizisko vai juridisko personu, vienību vai struktūru un šādu fizisko personu apgādājamo ģimenes locekļu pamatvajadzības, tostarp maksājumus par pārtikas produktiem, īri vai hipotēku, zālēm un ārstēšanu, nodokļu, apdrošināšanas prēmiju un komunālo pakalpojumu maksājumus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regulas, projekta 13.2. un 13.3.pakakšpunkts kā pamatvajadzības definē arī saprātīgu samaksu par īpašuma pārvaldīšanas pakalpojumu sniegšanu, kā arī darbinieku un amatpersonu atalgojuma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piemēram, projekta 11.punktu papildināt ar nosacījumu, ka šajā punktā minētos principus un projektā noteikto pamatvajadzību katalogu piemēro gadījumos, ja sankciju subjekta pamatvajadzību uzskaitījums jau tieši neizriet no attiecīgā starptautiskas organizācijas tiesību akta, ar kuru noteiktas sankcijas. Alternatīvi aicinām iekļaut projekta anotācijā skaidrojumu par projekta normu piemērošanu kontekstā ar citiem sankcijas noteicošiem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nodokļu un obligāto nodevu nomaksu;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Patentu valde kopš 2016. gada ir no budžeta nefinansēta iestāde, Rūpnieciskā īpašuma institūciju un procedūru likuma 5.panta otrā daļa paredz, ka Patentu valdes pakalpojumi ir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objektu (patentu, preču zīmju un dizainparaugu) reģistrācija un uzturēšana spēkā/reģistrācija atjaunošana nodrošina tās īpašniekam izņēmuma tiesības uz noteiktu laika posmu. Maksa par patenta uzturēšanu spēkā maksājama katru gadu un patentu iespējams uzturēt spēkā uz laika periodu līdz 20 gadiem. Maksa par preču zīmes reģistrācijas atjaunošanu  maksājama reizi 10 gados, ar iespēju šīs tiesības atjaunot uz atkal jaunu 10 gadu periodu. Preču zīme var tikt aizsargāta neierobežoti ilgi. Maksa par dizainparauga reģistrācijas atjaunošanu  maksājama reizi 5 gados, kopumā līdz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sankcionētā persona nav spējīga samaksāt maksu par rūpnieciskā īpašuma objektu spēkā uzturēšanu vai reģistrācijas atjaunošanu, tā neatgriezeniski zaudē izņēmuma tiesības uz reģistrēto/piešķirto rūpnieciskā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Patentu valde, izpildot sankcijas, atsaka jaunu rūpnieciskā īpašuma objektu piešķiršanu vai reģistrēšanu, kā arī grozījumu izdarīšanu attiecībā uz jau reģistrētiem un piešķirtiem rūpnieciskā īpašuma objektiem. Tomēr noteikumu projekts neparedz, ka Patentu valde pieņem lēmumu par izņēmuma tiesību atņemšanu to īpašniekiem. Maksas par rūpnieciskā īpašuma objektu spēkā uzturēšanu vai reģistrācijas atjaunošanu nesamaksāšana nozīmētu tieši to. Vēršam uzmanību, ka rūpnieciskā īpašuma jomas normatīvie akti neparedz iespēju atjaunot tiesības pēc laika, ja aizsardzība ir beigusies. Līdz ar to sankciju atcelšanas gadījumā, Patentu valde nevarēs atjaunot subjektam tiesības uz rūpnieciskā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neparedz tiesību atņemšanu sankcionētajām personām, kā arī ņemot vērā, ka pirms 2016. gada Patentu valdes maksas bija valsts nodevas, lūdzam papildināt subjektu pamatvajadzību nodrošināšanai nepieciešamos izdevumus ar “maksu par rūpnieciskā īpašuma objektu spēkā uzturēšanu un reģistrācijas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rūpnieciskā īpašuma objekta īpašnieks var būt ne tikai juridiska persona, bet arī fiziska persona, lūdzam pamatvajadzību izdevumus ar “maksu par rūpnieciskā īpašuma objektu spēkā uzturēšanu un reģistrācijas atjaunošanu” papildināt arī fiziskām personām (noteikumu projekta 12.punktā).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Zommere (PV)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Izpildot starptautiskās vai nacionālās sankcijas, kas paredz saimniecisko resursu iesaldēšanu un aizliegumu tieši vai netieši darīt pieejamus saimnieciskos resursus, persona nodrošina, ka saimnieciskie resursi netiek izmantoti kā analogs līdzekļiem. Noteiktās sankcijas piemēro tā, lai novērstu iespēju sankciju subjektam iegūt finansiālu vai ekonomisku labumu, izmantojot saimnieciskos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14.punkta pirmo teikumu. Iespējams, ka minētais regulējums veidots, pārņemot projektā spēkā esošo noteikumu 3.punktu. Tomēr vēršam uzmanību, ka spēkā esošajos noteikumos norāde "lai novērstu saimniecisko resursu izmantošanu kā analogu naudai vai tās aizvietotāju" iekļauta, lai definētu sankcijas ("civiltiesiska ierobežojuma") noteikšanas </w:t>
            </w:r>
            <w:r w:rsidR="00000000" w:rsidRPr="00000000" w:rsidDel="00000000">
              <w:rPr>
                <w:u w:val="single"/>
                <w:rtl w:val="0"/>
              </w:rPr>
              <w:t xml:space="preserve">mērķi.</w:t>
            </w:r>
            <w:r w:rsidR="00000000" w:rsidRPr="00000000" w:rsidDel="00000000">
              <w:rPr>
                <w:rtl w:val="0"/>
              </w:rPr>
              <w:t xml:space="preserve"> Savukārt no projekta 14.punkta pirmā teikuma izriet aizliegums izmantot iesaldētos saimnieciskos resursus (kurus sankciju subjektam jau pēc definīcijas aizliegts izmantot) kā līdzekļu (finanšu aktīvu) aizvietotāju. Līdz ar to piedāvātajā redakcijā 14.punkta pirmais teikums zaudē jēgu. Ierosinām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apsvērt projekta 14. un  arī 15.punkta nepieciešamību kopumā, ņemot vērā, ka Likuma 2.panta otrā daļa jau noteic, ka Likums attiecas uz visām personām, un tām ir pienākums ievērot un izpildīt starptautiskās un nacionālās sankcijas. Turklāt projekta mērķis nav noteikt ar sankcijām sasniedzamos mērķus (kas pamatā izriet no tiesību aktiem, ar ko noteiktas sankcijas), bet gan noteikt sankciju ierosināšanas un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Sankcijas, kas paredz saimniecisko resursu iesaldēšanu un aizliegumu tieši vai netieši darīt pieejamus saimnieciskos resursus, piemēro tā, lai novērstu iespēju sankciju subjektam gūt finansiālu vai ekonomisku labumu no saimnieciskajiem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starptautiskajās vai nacionālās sankcijas, kas paredz līdzekļu iesaldēšanu, aizliegumu tieši vai netieši darīt pieejamus līdzekļus vai paredz jebkura cita veida ierobežojumus, persona nodrošina, ka nekavējoties, bez iepriekšēja brīdinājuma tiek ievēroti ierobežojumi, ko nosaka attiecīgās starptautiskās vai nacionālās sankcijas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projekta 15.punkta tvērumu, proti, kāpēc tajā noteiktais tiek attiecināts tikai uz līdzekļu iesaldēšanu, bet ne uz, piemēram, saimniecisko resursu iesaldēšanu vai citām iespējamām sankcijām.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izpildot likuma 12. panta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persona informē tikai par jauniem iesaldētiem līdzekļiem vai saimnieciskiem resursiem, atkārtoti nesniedzot pamatojumu to iesaldēšanai.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Uzņēmumu reģistru un tā veiktajām darbībām sankciju jomā būtu nošķirami divi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pazīmes reģistrēšana (nepieņemot lēmumu) par sankciju risku, kas saskaņā ar likuma “Par Latvijas Republikas Uzņēmumu reģistru” 4.</w:t>
            </w:r>
            <w:r w:rsidR="00000000" w:rsidRPr="00000000" w:rsidDel="00000000">
              <w:rPr>
                <w:vertAlign w:val="superscript"/>
                <w:rtl w:val="0"/>
              </w:rPr>
              <w:t xml:space="preserve">2</w:t>
            </w:r>
            <w:r w:rsidR="00000000" w:rsidRPr="00000000" w:rsidDel="00000000">
              <w:rPr>
                <w:rtl w:val="0"/>
              </w:rPr>
              <w:t xml:space="preserve"> panta otro, trešo un ceturto daļu, izdarāma nekavējoties, bet ne vēlāk kā 5 darbdienu laikā pamatojoties uz tiesību aktu, lēmumu, citu dokumentu, citu institūciju sniegtās informācijas, kā arī publiski ikvienam pieejamas informācijas analīzi. Normatīvajā regulējumā noteikts, ka sankciju pazīme pati par sevi neatbrīvo personu no pienākuma veikt sankciju pārbaudes atbilstoši starptautiskajam un nacionālajam regulējumam. Līdz ar to sankciju pazīme pati par sevi nav uzskatāma par līdzekļu iesaldēšanu, bet veids kā atvieglot sākotnējo sadarbības partneru vai klientu sankciju risku izvērtējumu. Vienlaikus norādāms, ka atbilstoši likumā “Par Latvijas Republikas Uzņēmumu reģistru” noteiktajam Uzņēmumu reģistrs informāciju par izdarītajām pazīmēm, līdz tehniskā risinājuma izstrādei, publicē savā tīmekļvietnē, ar 2025. gada 2. jūniju informāciju atspoguļojot info.ur.gov.lv pie attiecīgā subjekta.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pieņemšana (pozitīva/ negatīva) attiecībā uz juridisko personu, kas tieši vai netieši ir saistīta ar personu/ subjektu, kam piemēroti sankciju ierobežojumi. Uzņēmumu reģistrs pēc būtības neiesaldē līdzekļus, bet iesaldē tiesisko stāvokli (piemēram, aizliedzot veikt izmaiņas patieso labuma guvēju sastāvā/ aizliegums veikt izmaiņas izpildinstitūcijas sastāvā). Lēmumu apstrīdēšana norit Administratīvā procesā noteiktajā kārtībā. Ņemot vērā, ka Finanšu izlūkošanas dienests tiks noteikts kā kompetentā institūcija, tiesvedības gadījumā tas tiks pieaicināts procesā kā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Laganovska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Finanšu izlūkošanas dienests, izpildot likuma 12.</w:t>
            </w:r>
            <w:r w:rsidR="00000000" w:rsidRPr="00000000" w:rsidDel="00000000">
              <w:rPr>
                <w:vertAlign w:val="superscript"/>
                <w:rtl w:val="0"/>
              </w:rPr>
              <w:t xml:space="preserve">1</w:t>
            </w:r>
            <w:r w:rsidR="00000000" w:rsidRPr="00000000" w:rsidDel="00000000">
              <w:rPr>
                <w:rtl w:val="0"/>
              </w:rPr>
              <w:t xml:space="preserve"> pantā sestajā daļā noteikto pienākumu, savā tīmekļvietnē nekavējoties publicē informāciju par sankciju subjektiem un tiem iesaldētajiem līdzekļiem un saimnieciskajiem resursiem Latvijā,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projekta 22.punkta regulējums nesašaurina Likuma 12.</w:t>
            </w:r>
            <w:r w:rsidR="00000000" w:rsidRPr="00000000" w:rsidDel="00000000">
              <w:rPr>
                <w:vertAlign w:val="superscript"/>
                <w:rtl w:val="0"/>
              </w:rPr>
              <w:t xml:space="preserve">1</w:t>
            </w:r>
            <w:r w:rsidR="00000000" w:rsidRPr="00000000" w:rsidDel="00000000">
              <w:rPr>
                <w:rtl w:val="0"/>
              </w:rPr>
              <w:t xml:space="preserve"> panta sestajā daļā noteikto, ka  </w:t>
            </w:r>
            <w:r w:rsidR="00000000" w:rsidRPr="00000000" w:rsidDel="00000000">
              <w:rPr>
                <w:i w:val="1"/>
                <w:rtl w:val="0"/>
              </w:rPr>
              <w:t xml:space="preserve">Finanšu izlūkošanas dienests savā tīmekļvietnē publicē informāciju par sankciju subjektiem un tiem iesaldētajiem finanšu līdzekļiem un saimnieciskajiem resursiem Latvijā, kā arī informāciju par starptautisko un nacionālo sankciju subjektiem</w:t>
            </w:r>
            <w:r w:rsidR="00000000" w:rsidRPr="00000000" w:rsidDel="00000000">
              <w:rPr>
                <w:rtl w:val="0"/>
              </w:rPr>
              <w:t xml:space="preserve">. Savukārt no projekta 22.punkta apakšpunktiem šobrīd izriet, ka dienests publicē informāciju tikai par tiem sankciju subjektiem, kas paši ziņojuši par sankciju izpildi, vai par kuriem dienests ir pieņēmis lēmumu par starptautisko un nacionālo sankciju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Finanšu izlūkošanas dienests šo noteikumu 23. punktā noteiktajā izvērtējumā konstatē, ka persona sankcijas nav izpildījusi saskaņā ar normatīvo aktu prasībām, tad Finanšu izlūkošanas dienests, ievērojot Likuma 12.</w:t>
            </w:r>
            <w:r w:rsidR="00000000" w:rsidRPr="00000000" w:rsidDel="00000000">
              <w:rPr>
                <w:vertAlign w:val="superscript"/>
                <w:rtl w:val="0"/>
              </w:rPr>
              <w:t xml:space="preserve">1</w:t>
            </w:r>
            <w:r w:rsidR="00000000" w:rsidRPr="00000000" w:rsidDel="00000000">
              <w:rPr>
                <w:rtl w:val="0"/>
              </w:rPr>
              <w:t xml:space="preserve"> panta ceturtajā daļā noteikto kārtību, pieņem lēmumu, ar kuru tiek nodrošināta sankciju izpilde saskaņā ar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24.punkta nepieciešamību, ņemot vērā, ka punkts dublē jau Likuma 12.</w:t>
            </w:r>
            <w:r w:rsidR="00000000" w:rsidRPr="00000000" w:rsidDel="00000000">
              <w:rPr>
                <w:vertAlign w:val="superscript"/>
                <w:rtl w:val="0"/>
              </w:rPr>
              <w:t xml:space="preserve">1</w:t>
            </w:r>
            <w:r w:rsidR="00000000" w:rsidRPr="00000000" w:rsidDel="00000000">
              <w:rPr>
                <w:rtl w:val="0"/>
              </w:rPr>
              <w:t xml:space="preserve">panta ceturtajā daļā noteikto Finanšu izlūkošanas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vērtēt un nepieciešamības gadījumā svītrot arī citas projekta normas, kurās ietvertais tiesiskais regulējums dublē Likumā ietverto tiesisko regulējumu, piemēram, projekta 25. un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kādēļ šo noteikumu 10. punktā minētās pamatvajadzības fizisko personu un juridisko personu gadījumā ietver īres maksājumus, bet neietver nomas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12.5. un 13.5. apakšpunkta vārdiskās jēgas secināms, ka noteikumu projekta 10. punktā minētās pamatvajadzības fizisko personu un juridisko personu gadījumā neietver nomas maksājumus. Ja noteikumu projektā no izdevumiem, kas nepieciešami sankciju subjekta pamatvajadzību nodrošināšanai, apzināti izslēgti maksājumi saistībā ar nomas tiesiskajām attiecībām, tad aicinām papildināt noteikumu projekta anotāciju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10. punktā minētās pamatvajadzības fizisko un juridisko personu gadījumā ietver arī nomas maksājumus, tad lūdzam papildināt attiecīgās noteikumu projekta normas ar norādēm uz nomas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sankciju subjekts var atrasties arī ieslodzījuma vietā, lūdzam papildināt anotāciju ar skaidrojumu, kā Finanšu izlūkošanas dienests izvērtēs jautājumu par sankcijās paredzētajiem izņēmumiem saistībā ar pamatvajadzību nodrošināšanu gadījumā, ja tas skar ieslodzījuma vietā esošu personu, kuras nauda atbilstoši Apcietinājumā turēšanas kārtības likuma 20.pantam un Latvijas Sodu izpildes kodeksa 48.pantam tiek uzglabāta Ieslodzījuma vietu pārvaldes Valsts kasē atvērtajā deponēto līdzekļu kontā vai ieslodzījuma vietas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Līdzekļi šo noteikumu izpratnē ir jebkāda veida finanšu aktīvi atbilstoši starptautisko organizāciju izdotajiem tiesību aktiem sankciju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projekta 2.punkta nepieciešamību. Vēršam uzmanību, pirmkārt, ka minētajai definīcijai nav juridiskas slodzes, jo tā tikai atsaucas uz starptautisko organizāciju tiesību aktiem (kuros var būt vai nebūt definēts, kas ir "līdzekļi" vai "finanšu aktīvi", vai lietota cita terminoloģija). Turklāt jānorāda, ka, piemēram, Eiropas Savienības sankciju jomā šāds termins jebkurā gadījumā interpretējams autonomi Eiropas Savienības tiesību ietvarā. Otrkārt, projekts attiecas arī uz nacionālo sankciju piemērošanu un šādā gadījumā var nebūt  starptautisko organizāciju izdoti tiesību akti sankciju jomā. Treškārt, ja tiek definēts termins "līdzekļi", būtu apsverama arī citu saistītu terminu, piemēram, "saimnieciskie resursi", definēšana.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par jēdziena tvērumu aicinām iekļaut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Iespējamā sankciju subjekta noskaidrošana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apvienot projekta II un III nodaļu, kā arī III nodaļā svītrot atsauces uz nacionālajām sankcijām. Vēršam uzmanību, ka Likumā ietvertais pilnvarojums, kā arī projekta 1.punkts, tostarp 1.1.apakšpunkts, neattiecas uz nacionālo sankciju noteikšanas kārtību (to regulē Likuma 3.pants un uz tā pamata izdotie Ministru kabineta noteikumi, piemēram, Ministru kabineta 2017. gada 25. jūlija noteikumi Nr. 419 "Noteikumi par nacionālo sankciju noteikšanu attiecībā uz subjektiem, kas saistīti ar Korejas Tautas Demokrātiskās Republikas īstenoto kodolprogrammu un politisko režīmu"). Lai gan var piekrist, ka sankciju subjekta noskaidrošanas metodika neatšķiras nacionālo sankciju noteikšanas un starptautisko sankciju ierosināšanas gadījumā, aicinām pieturēties pie Likuma normās noteiktā pilnvarojuma un projekta 1.punktā atspoguļotā projekta satura.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reģistrācijas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8. punktu nav nepieciešams papildināt ar vēl vienu kritēriju - "juridisko adresi". 8. punkts paredz, ka par juridisko personu, pret kuru plānots ierosināt sankcijas, var izmantot informāciju par tās darbības vietu un reģistrācijas vietu. Ar "darbības vietu" var tikt saprasta vieta, kur juridiskā persona veic uzņēmējdarbību, taču ar "reģistrācijas vietu" var tikt saprasta, piemēram, valsts, kurā tā reģistrēta (ja tā reģistrēta Latvijā, tad reģistrācijas vieta ir Latvija). Tieslietu ministrijas ieskatā informāciju par juridisko personu var sniegt arī tās juridiskā adrese, kuru kā adresi, kurā juridiskā persona ir sasniedzama, tā ir reģistrējusi attiecīgajā reģistrā (piemēram, komercreģistrā, biedrību un nodibinājumu reģistr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minētās pamatvajadzības fizisko personu gadījumā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projekta 12.punktu pēc vārda "gadījumā" papildināt ar vārdiem "tai skaitā", ņemot vērā projekta anotācijā norādīto, ka "noteikumos norādītais pamatvajadzību uzskaitījums fiziskām un juridiskām personām norāda to pamatvajadzību loku, kas pamatā saistīts ar pamatvajadzību nodrošināšanu, taču nav uzskatāms par izsmeļošu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minētās pamatvajadzības fizisko personu gadījumā tai skaitā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minētās pamatvajadzības juridisko personu gadījumā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projekta 13.punktu pēc vārda "gadījumā" papildināt ar vārdiem "tai skaitā", ņemot vērā projekta anotācijā norādīto, ka "noteikumos norādītais pamatvajadzību uzskaitījums fiziskām un juridiskām personām norāda to pamatvajadzību loku, kas pamatā saistīts ar pamatvajadzību nodrošināšanu, taču nav uzskatāms par izsmeļošu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minētās pamatvajadzības juridisko personu gadījumā tai skaitā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Izņēmumu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projekta VI nodaļu vai arī pamatot tās iekļaušanu projektā. Vēršam uzmanību, ka Likuma 10.pants jau izsmeļoši regulē izņēmumu piemērošanu sankciju izpildē, turklāt neparedz pilnvarojumu Ministru kabinetam noteikt papildus prasības sankciju izņēmumu piemērošanai (izņemot sankciju subjektu pamatvajadzību segšanai nepieciešamo izdevumu noteikšanas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projekta VII nodaļu, kura turklāt daļēji dublē Likuma 14.pantā ietverto regulējumu vai sašaurina to.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42.punktā noteiktais sašaurina Likuma 14.panta otrajā daļā noteikto, ka Ministru kabinets var lemt par sankciju grozīšanu vai atcelšanu arī pēc Nacionālās drošības padomes rekomendācijas, turklāt Likums paredz, ka Ārlietu ministrija sniedz Ministru kabinetam priekšlikumu par sankciju grozīšanu vai atcelšanu, nevis tikai informē par saņemtu iesniegumu.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Pieņemot likuma 10. panta pirmajā un ceturtajā daļā minēto lēmumu, Finanšu izlūkošanas dienests tostarp izvērtē, vai iesniegtie dokumenti un informācija atbilst šo noteikumu IV. un VI. nodaļai un citos normatīvajos aktos noteiktajām prasībām, tai skaitā, Finanšu izlūkošanas dienesta personai noteiktajiem individuālajiem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34.punkta nepieciešamību. Piedāvātajā redakcijā norma ir deklaratīva, pēc būtības nosakot, ka dienestam jāpilda pienākumi, kas noteikti jebkurai iestādei lēmuma pieņemšanas procesā tostarp Administratīvā procesa likumā un Valsts pārvaldes iekārtas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vērtēt, vai projekta 34.punktā vārds "personai" nav aizstājams ar vārdiem "sankciju subjektam".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starptautiskajās vai nacionālajās sankcijās paredzētā izņēmuma lūgums saistīts ar pamatvajadzību nodrošināšanu, pieņemot lēmumu Finanšu izlūkošanas dienests ievēro šo noteikumu IV. nodaļā noteiktos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svītrot 35.punktu. Minētais regulējums jau izriet no projekta IV nodaļas un to nav nepieciešams atkārtot.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21.02.2024.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w:t>
    </w:r>
    <w:r>
      <w:br/>
    </w:r>
    <w:r w:rsidR="00000000" w:rsidRPr="00000000" w:rsidDel="00000000">
      <w:rPr>
        <w:rtl w:val="0"/>
      </w:rPr>
      <w:t xml:space="preserve">Izdrukāts 21.02.2024.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Atzinumi_24-TA-326.docx</dc:title>
</cp:coreProperties>
</file>

<file path=docProps/custom.xml><?xml version="1.0" encoding="utf-8"?>
<Properties xmlns="http://schemas.openxmlformats.org/officeDocument/2006/custom-properties" xmlns:vt="http://schemas.openxmlformats.org/officeDocument/2006/docPropsVTypes"/>
</file>