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projektu iesniegumu iesniegšanas, vērtēšanas un līguma par projekta īstenošanu slēgšanas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par budžetu un finanšu vadību 19.</w:t>
            </w:r>
            <w:r w:rsidR="00000000" w:rsidRPr="00000000" w:rsidDel="00000000">
              <w:rPr>
                <w:vertAlign w:val="superscript"/>
                <w:rtl w:val="0"/>
              </w:rPr>
              <w:t xml:space="preserve">3</w:t>
            </w:r>
            <w:r w:rsidR="00000000" w:rsidRPr="00000000" w:rsidDel="00000000">
              <w:rPr>
                <w:rtl w:val="0"/>
              </w:rPr>
              <w:t xml:space="preserve"> panta otrā daļa cita starpā paredz, ka Ministru kabinets nosaka arī Eiropas Atveseļošanas un noturības mehānisma ieviešanā iesaistīto institūciju tiesības pieprasīt un saņemt tiešu pieeju datiem valsts informācijas sistēmās tādā apjomā, kāds nepieciešams un kādā to paredz Ministru kabinets attiecīgo pienākumu izpildei, lūdzam izvērtēt un nepieciešamības gadījumā papildināt noteikumu projektu (tostarp 1. punktu) ar atbilstošu regulējumu vai sniegt skaidrojumu par minētā pilnvarojuma izpildi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pasākuma noteiktais mērķrādītājs uzskatāms par izpildītu, kad Centrālajā finanšu un līgumu aģentūrā (turpmāk – aģentūra) pēc veiksmīgas testēšanas ir iesniegts nodošanas – pieņemšanas akts, kas apliecina darbu pabeigšanu un produkcijas ieviešanu trīs digitālajām platformām vai digitālajiem risinājumiem. Produkts ir lietotājam pieejams.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 punkta otro teikumu vai pārformulēt to, jo attiecīgajai normai šobrīd nav juridiskas slodzes un tā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pasākuma ietvaros projektu īstenošanai pieejamais Atveseļošanas fonda finansējums viena projekta īstenošanai nepārsniedz 750 000 </w:t>
            </w:r>
            <w:r w:rsidR="00000000" w:rsidRPr="00000000" w:rsidDel="00000000">
              <w:rPr>
                <w:i w:val="1"/>
                <w:rtl w:val="0"/>
              </w:rPr>
              <w:t xml:space="preserve">euro</w:t>
            </w:r>
            <w:r w:rsidR="00000000" w:rsidRPr="00000000" w:rsidDel="00000000">
              <w:rPr>
                <w:rtl w:val="0"/>
              </w:rPr>
              <w:t xml:space="preserve">. Viena juridiska persona var iesniegt vienu projekta pieteikumu. Projekta īstenošana var būt vairāku darbību kopums, kas veicina pieteicēja digitalizāciju.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tostarp tā pielikumā nodrošināt vienveidīgu terminoloģiju un skaidri norādīt, vai iesniedzams ir projekta iesniegums vai pieteikums. Tāpat līdzīgi lūdzam konsekventi norādīt uz tiesību subjektu - projekta iesniedzēju, nevis projekta pieteicēju.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Atveseļošanas fonda izdevumu attiecināmības termiņš ir no līguma par projekta īstenošanu noslēgšanas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noteikumu projektā kā attiecināmo izmaksu pozīcijas tiek paredzētas sākotnējā Digitālā brieduma testa, Digitālās attīstības ceļa kartes un otrreizējā digitālā brieduma testa sagatavošanas izmaksas, bet Digitālā brieduma testam un Digitālās attīstības ceļa kartei jābūt pievienotai projekta iesniegumam (tātad sagatavotai pirms projekta iesnieguma iesniegšanas), nav skaidri saprotams, kā ar minētajiem nosacījumiem sader noteikumu projekta 12. punktā minētais Atveseļošanas fonda izdevumu attiecināmības termiņš no līguma par projekta īstenošanu noslēgšanas. Proti, skaidrojam, ka izmaksas minēto dokumentu sagatavošanai radīsies, pirms līguma par projekta īstenošanu noslēgšanas. Attiecīgi lūdzam noteikumu projekta anotāciju papildināt ar atbilstošu skaidrojumu, nepieciešamības gadījumā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procesu digitalizācija un procesu digitalizācijai nepieciešamo rīku iegāde vai atjaunināšana un modernizēšana;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 punktā precīzāk raksturot atbalstāmās darbības, tostarp norādot, par kādu procesu digitalizāciju un datiem ir runa,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ar projekta darbībām tieši saistīto publicitātes un vizuālās identitātes pasākumu izmaksas, kas veiktas atbilstoši Eiropas Parlamenta un Padomes 2021. gada 12. februāra Regulas Nr. 2021/241, ar ko izveido Atveseļošanas un noturības mehānismu (turpmāk – regula Nr. 2021/241) 34. panta 2. punkta prasībām, nepārsniedzot vienu procentu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15.2. un 43.7. apakšpunktā ietvertās atsauces uz Eiropas Parlamenta un Padomes 2021. gada 12. februāra Regulas Nr. 2021/241, ar ko izveido Atveseļošanas un noturības mehānismu, 34. panta 2. punktu vai arī noteikumu projekta anotācijā skaidrot, ar ko atšķiras abos minētajos apakšpunktos norādītie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ar projekta darbībām tieši saistīto publicitātes un vizuālās identitātes pasākumu izmaksas, kas veiktas atbilstoši regulas Nr. 2021/241 34. panta 2. punkta prasībām, nepārsniedzot vienu procentu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15.5. apakšpunktu kā noteikumu projekta 15.2. apakšpunktā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ir īpašnieks masu informācijas līdzeklim vai līdzekļiem vai apvieno masu informācijas līdzekļu īpašniekus;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20.1. apakšpunktā (arī 21.3.2. apakšpunktā) izvairīties no frāzes "apvieno masu informācijas līdzekļu īpašniekus", kas ir neskaidra, tā vietā, piemēram, norādot, ka projektu iesniedzēja kapitāldaļu turētāji vai biedri ir masu informācijas līdzekļu īpašnieki.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ir īpašnieks masu informācijas līdzeklim vai līdzekļiem vai apvieno masu informācijas līdzekļu īpašniekus;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masu informācijas līdzekļa īpašnieku atbilstoši likuma "Par presi un citiem masu informācijas līdzekļiem" 8. pantam var būt juridiskas personas, fiziskas personas, kā arī personālsabiedrības, izņemot pašvaldības un to iestādes. Attiecīgi lūdzam noteikumu projekta anotācijā skaidrot pamatojumu, kādēļ noteikumu projektā paredzēts ierobežojums, ka projekta iesniedzējs var būt vienīgi juridiska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darbība nerada apdraudējumu valsts drošībai, sabiedriskajai kārtībai un sabiedrības drošībai;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anotācijā skaidrot nepieciešamību un mērķi noteikumu projekta 20.2. apakšpunktā ietvertajam regulējumam, nepieciešamības gadījumā minēto apakšpunktu svītrojot vai precizējot. Norādām, ka citos normatīvajos tiesību aktos, tai skaitā, Komerclikumā ir paredzēti komersantu darbības ierobežojumi, kas nodrošina attiecīgā apdraudējuma novēršanu, turklāt no noteikumu projekta nav skaidri saprotams, kādā kārtībā minētais apdraudējums saskaņā ar noteikumu projektu tiks izvērtēts, tai skaitā, vai paredzēts saņemt atzinumus no valsts drošības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Investīcijas pasākumu īsteno atklātas projektu iesniegumu atlases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 vai 26. punktu, nodrošinot, ka nedublējas minētajos punktos ietvertais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Projektu iesniegumu vērtēšanu sāk pēc projektu iesniegumu iesniegšanas termiņa beigām. Projekta iesniegumu, kurš iesniegts pēc projektu iesniegumu iesniegšanas beigu datuma, nevērtē. Aģentūra par to informē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regulējums izriet jau no noteikumu projekta 30. punkta ievaddaļas, lūdzam noteikumu projekta 28. punktā svītrot pirmo teikumu, pārējo 28. punktā ietverto regulējumu iekļaujot noteikumu projekta 30.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izslēgšanas kritērijiem. Ja projektu iesniegumu vērtēšanas komisija konstatē, ka uz projekta iesniedzēju ir attiecināms kaut viens no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136. panta “Izslēgšanas kritēriji un lēmumi par izslēgšanu” 1. un 4. punktā noteiktajiem izslēgšanas kritērijiem (turpmāk – izslēgšanas kritēriji), turpmāko projekta iesnieguma vērtēšanu neveic;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izslēgšanas kritērijiem saprotami arī noteikumu projekta pielikumā ietvertais 1.2. kritērijs, tādēļ lūdzam atbilstoši precizēt noteikumu projekta 30.1.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kopējais punktu skaits ir vienāds, priekšroku dod projekta iesniegumam, kuru paredzēts īstenot plānošanas reģionā ar mazāko reģionālo iekšzemes kopproduktu uz vienu iedzīvotāju (pēc pēdējiem aktuālajiem Centrālās statistikas pārvaldes datiem par pēdējo aktuālo kalendāra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32. punktā paredzēt sarindošanas kārtību arī gadījumos, ja projektu paredzēts īstenot vienā un tajā pašā plānošanas reģionā, vai alternatīvi lūdzam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Aģentūra, pamatojoties uz projektu iesniegumu vērtēšanas komisijas sniegto atzinumu, pieņem pārvaldes lēmumu par projekta iesnieguma apstiprināšanu, apstiprināšanu ar nosacījumu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33. punktā paredzētā lēmuma adresātes ir privātpersonas, tādēļ iestādes lēmums ir administratīvais akts. Attiecīgi minētajā punktā ietvertā norāde uz pārvaldes lēmumu varētu būt maldinoša, tādēļ lūdzam atbilstoši precizēt noteikumu projekta 33.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Aģentūra, pamatojoties uz projektu iesniegumu vērtēšanas komisijas sniegto atzinumu, pieņem lēmumu par projekta iesnieguma apstiprināšanu, apstiprināšanu ar nosacījumu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nav novērstas projekta iesnieguma nepilnības saskaņā ar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36.4. apakšpunkts noteic, ka aģentūra pieņem lēmumu par projekta iesnieguma noraidīšanu, ja nav novērstas projekta iesnieguma nepilnības saskaņā ar šo noteikumu 34. punktu. Saistībā ar minēto vēršam uzmanību, ka nav pieļaujams administratīvajā lietā, kurā jau ir pieņems lēmums par projekta iesnieguma apstiprināšanu ar nosacījumu, pieņemt lēmumu par tā paša projekta iesnieguma noraidīšanu. Skaidrojam, ka atbilstoši Administratīvā procesa likuma (turpmāk - APL) 85. panta otrās daļas 2. punktam adresātam labvēlīgu tiesisku administratīvu aktu var atcelt, ja administratīvais akts izdots ar kādu citu nosacījumu un šis nosacījums nav vispār izpildīts, nav pienācīgi izpildīts vai nav laikus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APL 70. panta pirmā daļa noteic, ka, ja ārējā normatīvajā aktā vai pašā administratīvajā aktā nav noteikts citādi, administratīvais akts stājas spēkā ar brīdi, kad tas paziņots adresātam. Tādējādi, ja, piemēram, aģentūras lēmumā par projekta iesnieguma apstiprināšanu ar nosacījumu ir noteikts, ka lēmums stājas spēkā brīdī, kad nosacījums ir izpildīts, tad kamēr adresāts lēmumā noteikto nosacījumu neizpilda, lēmums spēkā nestājas. Savukārt, ja aģentūras lēmums par projekta iesnieguma apstiprināšanu ar nosacījumu stājas spēkā vispārējā kārtībā, tad gadījumā, ja adresāts šo nosacījumu neizpilda vai neizpilda noteiktajā termiņā, aģentūrai ir tiesības lēmumu atcelt.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administratīvā procesa vispārīgie jautājumi regulēti APL, lūdzam svītrot noteikumu projekta 36.4.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Aģentūras lēmumu par projekta iesnieguma apstiprināšanu vai noraidīšanu mēneša laikā var apstrīdēt Finanšu ministrijā kā Atveseļošanas fonda koordinējošā iestādē. Savukārt Finanšu ministrijas izdoto administratīvo aktu var pārsūdzēt, iesniedzot pieteikumu Administratīvās rajona tiesas attiecīgajā tiesu namā.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38. punktā svītrot vārdus "iesniedzot pieteikumu Administratīvās rajona tiesas attiecīgajā tiesu namā", tā vietā atsaucoties uz Administratīvā procesa likumā noteikto kārtību un tādējādi nedublējot minētā likuma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izveidot projektu iesniegumu vērtēšanas komisiju un nodrošināt projekta iesniedzēja iesniegto pieteikumu izvērtēšanu atbilstoši vērtēšanas kritērijiem un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42.4. apakšpunktā norādīt, par kādiem vērtēšanas kritērijiem šajā apakšpunktā iet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izveidot projektu iesniegumu vērtēšanas komisiju un nodrošināt projekta iesniedzēja iesniegto pieteikumu izvērtēšanu atbilstoši projektu iesniegumu vērtēšanas kritērijiem un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noslēgt līgumus ar finansējuma saņēmējiem, iekļaujot pienākumu projektu finansējuma saņēmējiem veikt otrreizējo digitālā brieduma testu, un iesniegt aģentūrai neatkarīgu novērtējumu par finansējuma saņēmēja digitālo un inovāciju briedumu un par veikto investīciju atbilstību digitālās attīstības ceļa kartei (turpmāk –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neatrunāt saīsinājumu "atzinums", ņemot vērā, ka minētais vārds tālāk noteikumu projekta tekstā tiek lietots atšķirīgā nozīmē.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noslēgt līgumus ar finansējuma saņēmējiem, iekļaujot pienākumu projektu finansējuma saņēmējiem veikt otrreizējo digitālā brieduma testu, un iesniegt aģentūrai neatkarīgu novērtējumu par finansējuma saņēmēja digitālo un inovāciju briedumu un par veikto investīciju atbilstību digitālās attīstības ceļa kartei (turpmāk –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novēršot tiesiskā regulējuma dublēšanos, tai skaitā nedublējot noteikumu projekta 42.5. apakšpunktā noteikumu projekta 9.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 nodrošināt atsevišķu grāmatvedības uzskaiti par projekta izdevumiem saskaņā ar normatīvo aktu prasībām grāmatvedības jomā un vispārpieņemtiem grāmatvedības kārtošanas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43.5. apakšpunkta nosacījuma "un vispārpieņemtiem grāmatvedības kārtošanas principiem" saturu un saistošo spēku attiecībā uz privātpersonām. Nepieciešamības gadījumā lūdzam minēto nosacījumu noteikumu projekta 43.5.apakšpunktā svītrot, ņemot vērā, ka atbilstoši Latvijas Republikas Satversmes 90. pantam normatīvajā aktā noteikta personas pienākuma saturam ir jābūt nepārprotami skaidram.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43.7. nodrošināt informācijas un publicitātes pasākumus saskaņā ar regulas Nr. 2021/241 34. pantu un Eiropas Komisijas un Latvijas Republikas Atveseļošanas un noturības mehānisma finansēšanas nolīguma 10. pantu,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43.7. apakšpunktā un pielikumā svītrot atsauces uz Eiropas Savienības fondu 2021.-2027. gada plānošanas perioda un Atveseļošanas fonda komunikācijas un dizaina vadlīnijām, bet nepieciešamības gadījumā attiecīgo vadlīniju saturu pārņemt noteikumu projekta tekstā vai ietvert līgumā par projekta īstenošanu. Norādām, ka minētās vadlīnijas nav cita starpā saistošas projekta iesniedzējiem - privātpersonām,  tādēļ tās par saistošām nevar padarīt arī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20. punktam projekta iesniedzēji ir juridiskas personas (proti, nav vienīgi uzņēmumi), lūdzam atbilstoši precizēt noteikumu projekta pielikumā ietverto 4.3.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noteikumu projekta pielikumā minēto 3.1. kritēriju, detalizētāk skaidrojot, kas ir domāts ar izstrādātu risinājumu apkalpošanai.Tāpat līdzīgi lūdzam precizēt 4.10. kritēriju, detalizētāk skaidrojot, kas ir domāts ar projekta darbību un rezultātu labu pārvaldību, kā arī nepieciešamības gadījumā norādīt, vai ar labu pārvaldību saprotams vienīgi tas, ka projekta iesniegumā ir aprakstīts mehānisms, kādā veidā plānots organizēt un ieviest digitālo produktu, pakalpojumu un lietojumprogrammu izstrādi vai ieviešanu, ņemot vērā, ka 4.10. kritērijā nav paredzēts maksimālais punktu skaits gadījumā, ja nodrošināta projekta darbību un rezultātu laba pārvaldība.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ietverto 4.7. un 4.8. kritēriju izteikt kā atbilstības, nevis kvalitātes kritēriju (projekta budžeta tāmes detalizācijai un aritmētiskiem datiem turklāt nav paredzētas minimālās prasības (punkti)). Norādām, ka projekta budžeta tāmes detalizācijai un aritmētiskiem datiem, kā arī izdevumu pamatotībai ir būtiska nozīme projekta un investīcijas pasākuma mērķa sasniegšanai, tādēļ attiecīgajiem kritērijiem būtu jābūt novērtētiem kā nepieciešamajiem priekšnosacījumiem, lai kvalificētos atbalstam investīcijas ietvaros (proti, kā atbilstības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pielikumā ietvertos kvalitātes kritērijus, nodrošinot, ka tie ir izmērāmi, skaidri un nepārprotami. Vēršam uzmanību, ka, piemēram, norāde "atsevišķi jautājumi nav aprakstīti pietiekoši detalizēti" varētu būt pārāk subjektīva un praksē apgrūtinoši piemērojama, tādēļ nepieciešams konkretizēt, kādi tieši jautājumi nav aprakstīti, kā arī jāparedz, cik detalizētam jābūt aprakstam.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pielikumā ietverto 2.8. kritēriju ar noteikumu projekta 43.6. un 43.9.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ietvertajā 2.7. kritērijā svītrot vārdus "un tiem ir juridisks spēks", ņemot vērā, ka minētais jau izriet no Latvijas Republikas elektronisko dokumentu apriti regulējošo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svītrot 1.2. kritērijā vārdus "un līguma vai vienošanās par projekta īstenošanu noslēgšanas brīdi", ņemot vērā, ka minētais brīdis pienāk pēc projekta iesnieguma izvērtēšanas (nav arī skaidrs pamatojums atsaukties uz vienošanos, kuras noslēgšana no noteikumu projekta neizriet).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pasākuma mērķa grupa un Finansējuma saņēmēji ir mediju nozares asociācijas un uzņēmumi, kurus atlasa atklāta projektu iesniegumu konkursa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Komerclikuma 18. pantu termins "uzņēmums" apzīmē organizatoriski saimniecisku vienību un nevis komercdarbības vai saimnieciskās darbības subjektu. Ņemot vērā minēto, lūdzam izvērtēt un nepieciešamības gadījumā precizēt noteikumu projekta 3. punktu, 4.2.2. apakšpunktu un pielikumu (nepieciešamības gadījumā arī citas noteikumu projekta vienības) ,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Projektā iekļauj atbalstāmās darbības, kas sekmē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noteiktā investīcijas pasākuma mērķa un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 punktā norādīt uz to, kādas ir pasākuma ietvaros atbalstāmās darbības, nevis atbalstāmās darbības, kuras ir iekļaujamas projektā, tādējādi nodrošinot skaidru tiesību normu izklāstu un korektu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Finansējuma saņēmējs nodrošina, lai vienas un tās pašas darbības netiktu finansētas dubultā.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 terminoloģiju un tai skaitā noteikumu projekta 19. punktā norādīt uz projekta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ar katru sadarbības partneri slēdz rakstveida sadarbības līgumu par pušu pienākumiem, tiesībām un atbildību projekta mērķa un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22. punktā norādīt, kurā brīdī sadarbības līgumam jābūt noslēgtam.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sagatavo projekta iesniegumu saskaņā ar projektu iesniegumu konkursa nolikumu un iesniedz to Kohēzijas politikas fondu vadības informācijas sistēmā (turpmāk – Vadības informācijas sistēma) sludinājumā par projekta iesniegumu konkursa izsludināšanu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24. punktā aizstāt vārdu "sludinājumā" ar vārdu "paziņojumā", tādējādi nodrošinot korektu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aģentūra, veicot avansa un starpposma maksājumus, nodrošina, ka finansējuma saņēmējam veikto avansa un starpposma maksājumu kopsumma nepārsniedz 90 procentus no projekta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40.4. apakšpunktā norādīt uz projekta kopējām attiecināmajām izmaksām vai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aģentūra, veicot avansa un starpposma maksājumus, nodrošina, ka finansējuma saņēmējam veikto avansa un starpposma maksājumu kopsumma nepārsniedz 90 procentus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izveidot projektu iesniegumu vērtēšanas komisiju un nodrošināt projekta iesniedzēja iesniegto pieteikumu izvērtēšanu atbilstoši vērtēšanas kritērijiem un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30., 34. un 42.4. apakšpunkta skaidri neizriet, vai projekta iesniegums vērtējams arī atbilstoši šo noteikumu nosacījumiem. Attiecīgā gadījumā lūdzam precizēt noteikumu projekta 30. un 34. punktu (nepieciešamības gadījumā arī citas vienības), savukārt pretējā gadījumā lūdzam precizēt noteikumu projekta 42.4. apakšpunktā noteikto, sākotnēji nodrošinot, ka projektu iesniegumu vērtēšanas kritērijos tiek ietvertas visas prasības, kam ir nozīme projektu iesniegumu vērtēšanā un kas izriet no noteikumu projekta, tostarp arī projektu iesniegumu sarindošanas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ietvertajā 1.1. kritērijā norādīt arī uz sadarbības partneri, ievērojot 1. kritērija ievaddaļā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pielikumā atsaukties uz normatīvo aktu jomu, ievērojot Ministru kabineta 2009. gada 3. februāra noteikumu Nr. 108 "Normatīvo aktu projektu sagatavošanas noteikumi" 137. punktā noteikto, vai konkrētiem Ministru kabineta noteikumiem (norādot to pilnu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papildināt noteikumu projekta anotācijas 5.4. sadaļas 1. tabulu ar informāciju par Eiropas Savienības regulu prasību ieviešanu noteikumu projekta 43.7. un 42.3.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papildināt noteikumu projekta anotācijas 5. sadaļu ar skaidrojumu par Eiropas Komisijas un Latvijas Republikas Atveseļošanas un noturības mehānisma finansēšanas nolīguma 10. pantā ietverto saistību izpildi, raksturojot minēto saistību būtību, pasākumus, kurus nepieciešams veikt minēto saistību izpildei un kā paredzēts minētās saistības izpildīt.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23-TA-2953</w:t>
    </w:r>
    <w:r>
      <w:br/>
    </w:r>
    <w:r w:rsidR="00000000" w:rsidRPr="00000000" w:rsidDel="00000000">
      <w:rPr>
        <w:rtl w:val="0"/>
      </w:rPr>
      <w:t xml:space="preserve">Izdrukāts 23.11.2023. 09.58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23-TA-2953</w:t>
    </w:r>
    <w:r>
      <w:br/>
    </w:r>
    <w:r w:rsidR="00000000" w:rsidRPr="00000000" w:rsidDel="00000000">
      <w:rPr>
        <w:rtl w:val="0"/>
      </w:rPr>
      <w:t xml:space="preserve">Izdrukāts 23.11.2023. 09.58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Atzinumi_23-TA-2953.docx</dc:title>
</cp:coreProperties>
</file>

<file path=docProps/custom.xml><?xml version="1.0" encoding="utf-8"?>
<Properties xmlns="http://schemas.openxmlformats.org/officeDocument/2006/custom-properties" xmlns:vt="http://schemas.openxmlformats.org/officeDocument/2006/docPropsVTypes"/>
</file>