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Iekšlietu ministrijas izstrādāto likumprojektu “Grozījumi Krimināllikumā” (turpmāk – Likumprojekts), kas paredz aizstāt KL 262.</w:t>
            </w:r>
            <w:r w:rsidR="00000000" w:rsidRPr="00000000" w:rsidDel="00000000">
              <w:rPr>
                <w:vertAlign w:val="superscript"/>
                <w:rtl w:val="0"/>
              </w:rPr>
              <w:t xml:space="preserve">1</w:t>
            </w:r>
            <w:r w:rsidR="00000000" w:rsidRPr="00000000" w:rsidDel="00000000">
              <w:rPr>
                <w:rtl w:val="0"/>
              </w:rPr>
              <w:t xml:space="preserve"> pantā vārdus “medicīniskās pārbaudes alkohola koncentrācijas noteikšanai asinīs” ar vārdiem “izelpotā gaisa vai asins pārbaudes alkohola koncentrācijas noteikšanai”, tādējādi nosakot kriminālatbildību jau par atteikšanos no pārbaudes, kuru veic amatpersona personas izelpas gaisā ar šim nolūkam paredzētu mēraparātu (jeb “pūšanu trubiņā”).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anotācijā paustos argumentus, Tieslietu ministrija savas kompetences ietvaros var saskaņot Iekšlietu ministrijas izstrādāto Likumprojektu un tā anotāciju,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normatīvais regulējums pēc būtības atkārto Iekšlietu ministrijas 2022. gadā izstrādātos grozījumus Krimināllikumā, kad minētie grozījumi netika atbalstīti personu tiesību ierobežošanas un korupcijas risku dēļ. Tomēr, ievērojot pastāvošās noziedzības tendences, Tieslietu ministrija piekrīt, ka ir nepieciešams tāds normatīvais regulējums, kas ir atbilstošs mūsdienu tiesiskajai realitātei. Ņemot vērā minēto, Tieslietu ministrija saskaņo izstrādātos grozījumus Krimināllikumā, vienlaikus aicinot Iekšlietu ministriju Likumprojekta anotācijā skaidri norādīt, ka attiecīgajā situācijā ir izvērtēti visi iespējamie riski attiecībā uz personu pārsūdzības iespējām, proti, ka praksē personai būs reāla iespēja apšaubīt izelpas gaisā pārbaudes rezultātus un pilnvērtīgi sevi aizstāvēt. Tāpat Likumprojekta anotācijā ir nepieciešams sniegt izvērtējumu par potenciāliem korupcijas riskiem, jo īpaši kukuļdošanu un kukuļņemšanu, kā arī ietvert detalizētu citu valstu normatīvā regulējuma un prakses analīzi atteikšanās no alkohola pārbaudes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23-TA-1444</w:t>
    </w:r>
    <w:r>
      <w:br/>
    </w:r>
    <w:r w:rsidR="00000000" w:rsidRPr="00000000" w:rsidDel="00000000">
      <w:rPr>
        <w:rtl w:val="0"/>
      </w:rPr>
      <w:t xml:space="preserve">Izdrukāts 30.09.2024.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23-TA-1444</w:t>
    </w:r>
    <w:r>
      <w:br/>
    </w:r>
    <w:r w:rsidR="00000000" w:rsidRPr="00000000" w:rsidDel="00000000">
      <w:rPr>
        <w:rtl w:val="0"/>
      </w:rPr>
      <w:t xml:space="preserve">Izdrukāts 30.09.2024.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Atzinumi_23-TA-1444.docx</dc:title>
</cp:coreProperties>
</file>

<file path=docProps/custom.xml><?xml version="1.0" encoding="utf-8"?>
<Properties xmlns="http://schemas.openxmlformats.org/officeDocument/2006/custom-properties" xmlns:vt="http://schemas.openxmlformats.org/officeDocument/2006/docPropsVTypes"/>
</file>