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19. punkts nosaka informācijas sniegšanas pienākumu (pieteikuma sagatavošana un iesniegšana), lūdzu veikt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w:t>
            </w:r>
            <w:r w:rsidR="00000000" w:rsidRPr="00000000" w:rsidDel="00000000">
              <w:rPr>
                <w:b w:val="1"/>
                <w:rtl w:val="0"/>
              </w:rPr>
              <w:t xml:space="preserve">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informāciju (22.-25. lpp.), kas pieejama Vadlīnijās tiesību akta sākotnējās ietekmes novērtēšanai un novērtējuma ziņojuma sagatavošanai vienotajā TAP portālā (pieejamas Ministru kabineta tīmekļvietnē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teikumā : "Ņemot vērā noteikumu projektā noteiktos izmaksu attiecināmības nosacījumus un projektu kopējās izmaksas, projektu vadības un īstenošanas nodrošināšanai pieejamais finansējums vidēji būtu robežās no 65 041 euro līdz 1 105 691 euro. Kvalitatīvai projektu ieviešanai būtu nepieciešama vismaz vecākā projektu vadītāja (39.1. III A amatu saime, 12. mēnešalgu grupa), projekta vadītāja asistenta (39.1. I amatu saime, 8. mēnešalgu grupa), finansista (15.1. III amatu saime, 10. mēnešalgu grupa), iepirkumu speciālista (2. IV amatu saime, 9. mēnešalgu grupa), vairāku informācijas sistēmu attīstības speciālistu (21.4 III-IV amatu saime, 11.-12. mēnešalgu grupa), kā arī informācijas sistēmas testētāja (21.9. II amatu saime, 10.mēnešalgu grupa) iesaiste, algu likmes nosakot saskaņā ar Valsts un pašvaldību institūciju amatpersonu un darbinieku atlīdzības likumā noteikto mēnešalgu grupu skalas viduspunktu (saskaņā ar mēnešalgu koeficientu viduspunktu pret bāzes likmi 2026. gadam)" norādīto 39.1.apakšsaimes līmeni un attiecīgi arī mēnešalgu grupu. Vēršama uzmanība,ka 39.1. apakšsaimē nav IIIA līmenis, bet iespējams ir IIA līmenis vai arī IVA līmenis. Vienlaikus, lai izvēlētos pēc iespējas atbilstošu 39.1. apakšsaimes līmeni aicinām izmantot  Valsts kancelejas izstrādātos Kritērijus amatu klasificēšanai projektos, kas pieejami https://www.mk.gov.lv/lv/amatu-klasifikacijas-process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un pašvaldību iestādēm ir aizpildāma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27.03.2025.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27.03.2025.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Atzinumi_25-TA-641.docx</dc:title>
</cp:coreProperties>
</file>

<file path=docProps/custom.xml><?xml version="1.0" encoding="utf-8"?>
<Properties xmlns="http://schemas.openxmlformats.org/officeDocument/2006/custom-properties" xmlns:vt="http://schemas.openxmlformats.org/officeDocument/2006/docPropsVTypes"/>
</file>