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24-TA-1644: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Mobilizācijas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10.</w:t>
            </w:r>
            <w:r w:rsidR="00000000" w:rsidRPr="00000000" w:rsidDel="00000000">
              <w:rPr>
                <w:vertAlign w:val="superscript"/>
                <w:rtl w:val="0"/>
              </w:rPr>
              <w:t xml:space="preserve">2</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Ekonomikas ministrijas sagatavotais likumprojekts “Grozījums Mobilizācijas likumā” (turpmāk – projekts) un par to izsakām priekšlikumu papildus izvērtēt projektā paredzēto jauno Mobilizācijas likuma (turpmāk – likums) 10.</w:t>
            </w:r>
            <w:r w:rsidR="00000000" w:rsidRPr="00000000" w:rsidDel="00000000">
              <w:rPr>
                <w:vertAlign w:val="superscript"/>
                <w:rtl w:val="0"/>
              </w:rPr>
              <w:t xml:space="preserve">2</w:t>
            </w:r>
            <w:r w:rsidR="00000000" w:rsidRPr="00000000" w:rsidDel="00000000">
              <w:rPr>
                <w:rtl w:val="0"/>
              </w:rPr>
              <w:t xml:space="preserve"> pantu. Vēršam uzmanību, ka šajā pantā piedāvātais regulējums par pirmās nepieciešamības preču atsavināšanas kārtību ir nepilnīgs, jo šā likuma ietvaros nesniedz tiesisko skaidrību par to, kāpēc nepieciešama to atsavināšana, kāds kopumā būs atsavināšanas process un kādiem citiem uzdevumiem to varēs atsavināt. Vienlaikus vēlamies norādīt, ka pirmās nepieciešamības preces valsts apdraudējuma gadījumiem faktiski ir valsts materiālo rezervju regulējuma (Valsts materiālo rezervju likums un uz tā pamata izdotie normatīvie akti) jautājums un ar mobilizāciju tas ir saistīts pakārtoti. Ievērojot minēto, piedāvājam likumā neveidot izvērstu tiesisko regulējumu par pirmās nepieciešamības precēm, bet likuma 9. panta 6.</w:t>
            </w:r>
            <w:r w:rsidR="00000000" w:rsidRPr="00000000" w:rsidDel="00000000">
              <w:rPr>
                <w:vertAlign w:val="superscript"/>
                <w:rtl w:val="0"/>
              </w:rPr>
              <w:t xml:space="preserve">1</w:t>
            </w:r>
            <w:r w:rsidR="00000000" w:rsidRPr="00000000" w:rsidDel="00000000">
              <w:rPr>
                <w:rtl w:val="0"/>
              </w:rPr>
              <w:t xml:space="preserve"> punktā papildus esošajam regulējumam kā jaunu apakšpunktu iekļaut pilnvarojumu Ministru kabinetam izdot noteikumus par pirmās nepieciešamības preču atsavināšanas kārtību. Savukārt Ministru kabineta 2024. gada 26. marta noteikumos Nr.185 “Noteikumi par iedzīvotāju nodrošināšanu ar pirmās nepieciešamības precēm valsts apdraudējuma gadījumā” atbilstoši projektā sagatavotajam pilnvarojumam iekļaut visu nepieciešamo regulējumu, tai skaitā, piemēram, ņemot vērā šo preču nomenklatūru, nodot tās citām no valsts vai pašvaldības budžeta finansētām veselības aizsardzības vai sociālās aprūpes iestādēm, kā tas tiek minēts Ministru kabineta 2024. gada 26. marta sēdes protokollēmuma (prot.Nr.13  5.§) 8. punktā. Tādējādi viss regulējums par pirmās nepieciešamības precēm valsts apdraudējuma gadījumiem un pilna cikla rīcība ar tām (aprite) tiks noteikta ar vienu normatīvo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24-TA-1644</w:t>
    </w:r>
    <w:r>
      <w:br/>
    </w:r>
    <w:r w:rsidR="00000000" w:rsidRPr="00000000" w:rsidDel="00000000">
      <w:rPr>
        <w:rtl w:val="0"/>
      </w:rPr>
      <w:t xml:space="preserve">Izdrukāts 19.11.2024. 08.27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24-TA-1644</w:t>
    </w:r>
    <w:r>
      <w:br/>
    </w:r>
    <w:r w:rsidR="00000000" w:rsidRPr="00000000" w:rsidDel="00000000">
      <w:rPr>
        <w:rtl w:val="0"/>
      </w:rPr>
      <w:t xml:space="preserve">Izdrukāts 19.11.2024. 08.27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Atzinumi_24-TA-1644.docx</dc:title>
</cp:coreProperties>
</file>

<file path=docProps/custom.xml><?xml version="1.0" encoding="utf-8"?>
<Properties xmlns="http://schemas.openxmlformats.org/officeDocument/2006/custom-properties" xmlns:vt="http://schemas.openxmlformats.org/officeDocument/2006/docPropsVTypes"/>
</file>