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izteikt 66.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66.punkta redakciju. LDDK ir vairākkārtīgi paudusi bažas Valsts kancelejai par to, ka TAP izstrādāšanā (slēgtā vide) nav ņemta vērā sociālo partneru un citu organizāciju darbības specifika, kas nosaka nepieciešamību konsultēties ar biedriem un konsolidēt viedokli.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konstatējuši, ka ļoti bieži atbildīgās ministrijas pēc iebildumu saņemšanas neprecizē projektus, iebildumus neņemot vērā pēc būtības. Diemžēl TAP sistēma, </w:t>
            </w:r>
            <w:r w:rsidR="00000000" w:rsidRPr="00000000" w:rsidDel="00000000">
              <w:rPr>
                <w:b w:val="1"/>
                <w:rtl w:val="0"/>
              </w:rPr>
              <w:t xml:space="preserve">automātiski ģenerējot izziņu</w:t>
            </w:r>
            <w:r w:rsidR="00000000" w:rsidRPr="00000000" w:rsidDel="00000000">
              <w:rPr>
                <w:rtl w:val="0"/>
              </w:rPr>
              <w:t xml:space="preserve">, ļauj formāli atzīmēt, ka iebildums ņemts vērā, bet pēc būtības nav ņemts vērā. Tas rada iespaidu, ka projekts ir saskaņots un nav jāsasauc starpinstitūciju sanāksme.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 gada laikā LDDK ir vairākkārtīgi iebildusi arī pret izziņu!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kategoriski iebilst pret 66.punkta otro teikumu, kas nosaka, ka, ja atzinums ir iesniegts pēc termiņa, atbildīgajai ministrijai ir tiesības virzīt projektu neprecizējot to. Šāda norma vēl vairāk pasliktinās iespējas paust viedokli un saņemt atbildi no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izteikt 68.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68.punkta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vērš uzmanību, ka diemzēl izziņās reizēm ir maldīgi norādīts, ka iebildums ņemts vētā, bet būtībā tas nav ņemts vērā. LDDK aicina uzlabot komunikāciju ar atzinumu sniedzējiem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izteikt 69.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69.punkta redakciju. Atkārtoti vēršam uzmanību, ka ne vienmēr tiek sasauktas starpinstitūciju sanāksmes par iebildumiem, tādējādi tiek ierobežota iespēja paust vai aizstāvēt savu viedokli un iepazīties ar citu institūciju argumentiem.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nav informēta par TAP portāla iespēju informēt iesaistītās institūcijas par starpinstitūciju sanāksmi.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izteikt 71.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71.pinkta redakciju, jo uzskata, ka nevar visu komunikāciju virzīt tikai caur TAP portālu.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izteikt 93.2.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93.2. ar padomdevēja tiesībām – parlamentārie sekretāri, Ministru prezidenta biroja vadītājs, Ministru prezidenta biedra biroja vadītājs, Valsts kancelejas amatpersonas, Korupcijas novēršanas un apkarošanas biroja pārstāvis, Valsts kontroles pārstāvis, Ģenerālprokuratūras pārstāvis, Latvijas Pašvaldību savienības pārstāvis, Sabiedrisko pakalpojumu regulēšanas komisijas pārstāvis, Nacionālās trīspusējās sadarbības padomes </w:t>
            </w:r>
            <w:r w:rsidR="00000000" w:rsidRPr="00000000" w:rsidDel="00000000">
              <w:rPr>
                <w:u w:val="single"/>
                <w:rtl w:val="0"/>
              </w:rPr>
              <w:t xml:space="preserve">dalībpušu</w:t>
            </w:r>
            <w:r w:rsidR="00000000" w:rsidRPr="00000000" w:rsidDel="00000000">
              <w:rPr>
                <w:rtl w:val="0"/>
              </w:rPr>
              <w:t xml:space="preserve"> pārstāvis, Konkurences padomes pārstāvis, Datu valsts inspekcijas pārstāvis, tiesībsargs vai viņa pilnvarota persona, plānošanas reģiona attīstības padomes pārstāvis, Nevalstisko organizāciju un Ministru kabineta sadarbības memoranda īstenošanas padomes pilnvarots pārstāvis un nevalstisko organizāciju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08.05.2023. 21.13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08.05.2023. 21.13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Atzinumi_23-TA-197.docx</dc:title>
</cp:coreProperties>
</file>

<file path=docProps/custom.xml><?xml version="1.0" encoding="utf-8"?>
<Properties xmlns="http://schemas.openxmlformats.org/officeDocument/2006/custom-properties" xmlns:vt="http://schemas.openxmlformats.org/officeDocument/2006/docPropsVTypes"/>
</file>