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 rezultātu vērsta budžeta veidošanas un attīstības virzieniem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