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58.</w:t>
            </w:r>
            <w:r w:rsidR="00000000" w:rsidRPr="00000000" w:rsidDel="00000000">
              <w:rPr>
                <w:vertAlign w:val="superscript"/>
                <w:rtl w:val="0"/>
              </w:rPr>
              <w:t xml:space="preserve">11</w:t>
            </w:r>
            <w:r w:rsidR="00000000" w:rsidRPr="00000000" w:rsidDel="00000000">
              <w:rPr>
                <w:rtl w:val="0"/>
              </w:rPr>
              <w:t xml:space="preserve"> pantu ar jaunu sesto, septīto, astoto, devīto, desmito, vienpadsmito, divpadsmito un trīspadsmito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58.</w:t>
            </w:r>
            <w:r w:rsidR="00000000" w:rsidRPr="00000000" w:rsidDel="00000000">
              <w:rPr>
                <w:vertAlign w:val="superscript"/>
                <w:rtl w:val="0"/>
              </w:rPr>
              <w:t xml:space="preserve">11</w:t>
            </w:r>
            <w:r w:rsidR="00000000" w:rsidRPr="00000000" w:rsidDel="00000000">
              <w:rPr>
                <w:rtl w:val="0"/>
              </w:rPr>
              <w:t xml:space="preserve"> panta 10. daļā noteikto atbalsta shēmas radīšanas iespēju atkritumu reģenerācijai enerģijas iegūšanai arī gadījumos, ja netiek izpildīti normatīvajos aktos par atkritumu apsaimniekošanu noteiktie dalītās savākšanas pienākumi. Šāda nosacījuma izveide nākotnē potenciāli var radīt negatīvu efektu, kavējot centienus uzlabot atkritumu dalīto savākšanu un pārstrādi. Atkritumu reģenerācija enerģijas ieguvei novirza pārstrādājamos atkritumus no pārstrādes, ko apliecina statistikas dati no citām ES dalībvalstīm (valstīs ar augstākiem atkritumu reģenerācijas apmēriem ir relatīvi zemāki atkritumu pārstrādes rādītāji). Turklāt atkritumu reģenerācija situācijās, kad netiek izpildītas noteiktās dalītās savākšanas/ pārstrādes prasības, neatceļ pienākumu šīs prasības izpildīt, tādēļ šis nosacījums/izņēmuma gadījums nav pamatots, jo nerisina atkritumu apsaimniekošanas izaicinājumus.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labāk izprastu enerģētiskās nabadzības skarto mājsaimniecību apmēru Latvijā atbilstoši Energoapgādes izmaksu valsts atbalsta likumā noteiktajai metodoloģijai, ierosinām papildināt anotāciju ar to mājsaimniecību īpatsvaru no visām Latvijā, kas šobrīd atbilstu enerģētiskās nabadzības skarto mājsaimniecību lokam.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27.12.2024.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27.12.2024.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