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likumā “Par valsts budžetu 2025.gadam un budžeta ietvaru 2025., 2026. un 2027.gadam” noteiktajiem Satiksmes ministrijas kapitālsabiedrību kopējo personāla izmaksu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atzinumu par Satiksmes ministrijas ziņojumu un tā protokollēmuma projektu pēc būtības sniegs tad, kad būs panākta vienošanās par vienotu pieeju un kritērijiem  valsts kapitālsabiedrībām atlīdzības fondu nosacījumu kontekstā. Šajā jautājumā būtisks ir Valsts kancelejas viedoklis.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atgādina, ka kapitālsabiedrības, kas klasificētas vispārējās valdības institucionālajā sektorā atbilstoši Eiropas Savienības nacionālo un reģionālo kontu sistēmas metodoloģijai, ar savu saimniecisko darbību ietekmē vispārējās valdības budžeta deficītu un parādu. Finanšu ministrija šobrīd aktualizē fiskālās prognozes 2025. – 2029. gadam un minēto kapitālsabiedrību ietekme uz vispārējās valdības budžeta bilanci (apkopojot informāciju no kapitālsabiedrību iesniegtajām anketām, kas iesniegtas š.g. februārī) tiek ņemta vērā šajās prognozēs. Attiecīgi lēmums par personāla izmaksu palielināšanu vispārējās valdības institucionālajā sektorā klasificētām kapitālsabiedrībām nedrīkst negatīvi ietekmēt vispārējās valdības budžeta deficītu un parādu, pretējā gadījumā ir nodrošināmi negatīvo ietekmi kompensējošie pasākumi no pašu kapitālsabiedrību vai kapitāldaļu turētāja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21.03.2025.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21.03.2025.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Atzinumi_25-TA-185.docx</dc:title>
</cp:coreProperties>
</file>

<file path=docProps/custom.xml><?xml version="1.0" encoding="utf-8"?>
<Properties xmlns="http://schemas.openxmlformats.org/officeDocument/2006/custom-properties" xmlns:vt="http://schemas.openxmlformats.org/officeDocument/2006/docPropsVTypes"/>
</file>