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vai precizēt 3.3.1.pasākumu  – kas tiek domāts ar starpinstitūciju koordinācijas mehānismu? Piemēram, vai plānots organizēt kopīgu projektu, vai plānots veidot darba grupas jauniešu uzņēmējdarbības veicināšanai, vai arī kādu citu sadarbības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pasākuma 1.5.1. darbības rezultātu. Darbības rezultāts (tikšanās ar lēmumu pieņēmējiem) esošajā redakcijā, mūsuprāt, var neradīt iespēju mērķa (nodrošināt vienlīdzīgas iespējas jauniešiem visās pašvaldībās)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pasākuma realizēšanas brīdī fokusēties uz reģionu pašvaldībām, tādējādi cenšoties mazināt to nevienmērīgu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Ingvars Kudeikins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precizēt pasākuma Nr. 3.3.2. darbības rezultātu, esošā redakcija nesniedz skaidru atbildi, kam būs paredzēts šis pārskats. Vai pārskats būs instruments politikas veidotājiem, lai izstrādātu jaunus stratēģiskos pasākumus? Vai tas ir paredzēts jauniešu organizācijām, lai palīdzētu labāk saprast pieejamās iespējas un rīkot pasākumus? Vai arī tas ir informatīvs materiāls sabiedrībai? Precizējot galveno mērķauditoriju un lietojumu, varētu panākt lielāku skaidrību un jēgpilnu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