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ceļu satiksmes uzraudzības tehnisko līdzekļu, kas paredzēti pārkāpumu fiksēšanai, neapturot transportlīdzekli, uzstādīšanu uz ceļiem un ar tiem fiksētās informācijas paziņošanu adresātam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daļu  un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Izvērtējot precizēto noteikumu projektu, Tieslietu ministrija secina, ka 02.12.2024. atzinumā minētais iebildums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Tieslietu ministrijas 02.12.2024. atzinumā ietvertos argumentus, atkārtoti lūdzam pārskatīt noteikumu projekta IV nodaļu "Ar tehniskajiem līdzekļiem fiksētās informācijas paziņošana" un pārliecināties, ka nodaļā ietvertais regulējums ir efektīvs un paziņojums par iespējamu pārkāpumu sasniedz tā adresātu maksimāli ātri, kā arī pārliecināties par šīs nodaļas atbilstību Paziņošanas 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valsts ceļa pārvaldītājs vai dzelzceļa infrastruktūras pārvaldītājs to tīmekļvietnēs, bet pašvaldības policija un pašvaldības ceļa pārvaldītājs -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02.12.2024. atzinumā minētais iebildums ir tikai daļēji ņemts vērā, jo ir precizēts tikai noteikumu projekta 3.</w:t>
            </w:r>
            <w:r w:rsidR="00000000" w:rsidRPr="00000000" w:rsidDel="00000000">
              <w:rPr>
                <w:rtl w:val="0"/>
              </w:rPr>
              <w:t xml:space="preserve"> </w:t>
            </w:r>
            <w:r w:rsidR="00000000" w:rsidRPr="00000000" w:rsidDel="00000000">
              <w:rPr>
                <w:b w:val="1"/>
                <w:rtl w:val="0"/>
              </w:rPr>
              <w:t xml:space="preserve">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punktā lietoto terminoloģiju. Proti, noteikumu projekta ir paredzēts, ka tie nosaka kārtību tehnisko līdzekļu uzstādīšanai uz ceļiem, kas paredzēti pārkāpumu fiksēšanai, neapturot transportlīdzekli. Savukārt noteikumu projekta  4. punktā tiek lietots vārdu savienojums "stacionārie tehniskie līdzekļi". Lūdzam attiecīgi precizēt  4. punktu vai noteikumu projektā vai anotācijā ietvert vārdu savienojuma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02.12.2024. atzinumā minētais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02.12.2024. atzinumā ietvertos argumentus, Tieslietu ministrija norāda, ka nepiekrīt izziņā norādītajam argumentam, ka informācijas  nosūtīšanas veidi ir izsmeļoši uzskaitīti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Vēršam uzmanību, ka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pantā ir paredzēts, ka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policija Administratīvās atbildības likuma 162. panta pirmajā daļā minētajai personai nekavējoties elektroniski nosūta informāciju (</w:t>
            </w:r>
            <w:r w:rsidR="00000000" w:rsidRPr="00000000" w:rsidDel="00000000">
              <w:rPr>
                <w:b w:val="1"/>
                <w:rtl w:val="0"/>
              </w:rPr>
              <w:t xml:space="preserve">ja adresāta dati elektroniskai saziņai ir zināmi)</w:t>
            </w:r>
            <w:r w:rsidR="00000000" w:rsidRPr="00000000" w:rsidDel="00000000">
              <w:rPr>
                <w:rtl w:val="0"/>
              </w:rPr>
              <w:t xml:space="preserve"> par fiksēto gadījumu.".  Savukārt kārtību, kādā informācija paziņojama Administratīvās atbildības likuma 162. panta pirmajā daļā minētajai personai, nosaka Ministru kabinets. Līdz ar to Ministru kabinetam ir zināma brīvība, nosakot kārtību, kādā informācija paziņojumā Administratīvās atbildības likuma 162. panta pirmajā daļā minētajai personai un paziņošana elektroniski, izmantojot oficiālo elektronisko adresi vai elektroniskā pasta adresi, nav vienīgais paziņošanas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tomēr  pārskatīt nodaļas regulējumu pēc būtības un nodrošināt to 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pamatojumu projekta anotācijā atbilstoši aktuālajai situācijai. Piemēram, grozījumi Ceļu satiksmes likumā jau ir stājušies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6.1. apakšpunktā paredzēts, ka transportlīdzekļu un to vadītāju valsts reģistrā iesniedz arī šādu informāciju par fiksēto pārkāpumu: "fiksētais pārkāpums atbilstoši Ceļu satiksmes likumam vai Autoceļu lietošanas nodevas likumam". Projekta anotācijā nav skaidrots, kā paredzētās izmaiņas atšķiras no spēkā esošā regulējuma un kādu tieši informāciju tās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02.12.2024. atzinumā minētam, norādām, ka anotācija ir precizējama pēc noteikumu projekta IV nodaļas regulējuma pārskatīšanas pēc būtības un atbilstības Paziņošanas likumam nodrošināšanas.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10.02.2025.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10.02.2025.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Atzinumi_24-TA-2467.docx</dc:title>
</cp:coreProperties>
</file>

<file path=docProps/custom.xml><?xml version="1.0" encoding="utf-8"?>
<Properties xmlns="http://schemas.openxmlformats.org/officeDocument/2006/custom-properties" xmlns:vt="http://schemas.openxmlformats.org/officeDocument/2006/docPropsVTypes"/>
</file>