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sadaļu norādot, kāds datu apjoms tiks apstrādāts par audžuģimeni, lai saņemtu veselības apdrošināšanas polisi, kā arī kompensāciju par iegādāto civiltiesisko apdrošināšanu. Papildus tam lūdzam norādīt, vai atbalsta centri apstrādās arī audžuģimeņu veselības datus, piemēra, veselības atlīdzības pakalpojumu apmaksai. Lūdzam arī papildināt anotāciju ar norādi par personas datu glabāšanas termiņiem, ievērojot to, ka noteikumu projekts paredz jaunas funkcijas atbalsta centriem, un attiecīgi arī jaunu personas datu apstrādes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mēneša laikā pēc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minētā iepirkuma procedūras rezultātā izraudzītā pretendenta noteikšanas noslēdz līgumu par veselības apdrošināšanu specializētajām audžuģimenēm ar veselības apdrošināšanas pakalpojuma sniedzēju. Atbalsta centrs veic ar veselības apdrošināšanu saistītos norēķinus atbilstoši noslēgtajam līgumam, rakstveidā informē veselības apdrošināšanas pakalpojuma sniedzēju par nepieciešamību specializēto audžuģimeni iekļaut vai izslēgt veselības apdrošināšanas polisē un izsniedz specializētajai audžuģimenei veselības apdrošināšanas karti normatīvajos aktos par audžuģimenēm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centrs administrēs veselības apdrošināšanas polišu izsniegšanu, kā arī veiks norēķinus, lūdzam papildināt anotāciju, norādot datu apjomu, kas tiks apstrādāts par audžuģimeni un tās locekļiem, lai saņemtu veselības apdrošināšanas polisi.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izmaksā specializētajai audžuģimenei kompensāciju par tās iegādāto civiltiesiskās atbildības apdrošināšanu normatīvajos aktos par audžuģimenēm noteiktajā kārtībā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datu apjomu, kas tiks apstrādāts par audžuģimeni, lai tā saņemto šajā MK noteikuma projekta apakšpunktā paredzēto civiltiesiskās atbildības apdrošināšanas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23.07.2026. 08.06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23.07.2026. 08.06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Atzinumi_25-TA-1872.docx</dc:title>
</cp:coreProperties>
</file>

<file path=docProps/custom.xml><?xml version="1.0" encoding="utf-8"?>
<Properties xmlns="http://schemas.openxmlformats.org/officeDocument/2006/custom-properties" xmlns:vt="http://schemas.openxmlformats.org/officeDocument/2006/docPropsVTypes"/>
</file>