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25-TA-722: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Bērnu tiesību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52. panta 1.</w:t>
            </w:r>
            <w:r w:rsidR="00000000" w:rsidRPr="00000000" w:rsidDel="00000000">
              <w:rPr>
                <w:vertAlign w:val="superscript"/>
                <w:rtl w:val="0"/>
              </w:rPr>
              <w:t xml:space="preserve">3</w:t>
            </w:r>
            <w:r w:rsidR="00000000" w:rsidRPr="00000000" w:rsidDel="00000000">
              <w:rPr>
                <w:rtl w:val="0"/>
              </w:rPr>
              <w:t xml:space="preserve"> daļas pirmo teikumu aiz vārda "apstrādi"  ar vārdiem "valsts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personas datu apstrādi valsts informācijas sistēmā, kas būs jauna valsts informācijas sistēma (labklājības nozares un pašvaldību sociālās sfēras platforma "DigiSoc"), kā arī anotācijā ir norādīts, ka Labklājības ministrija izstrādā jaunus MK noteikumus, kuros tiks noteikts valsts informācijas sistēmā iekļaujamās informācijas apjomu un tās apstrādes kārtību. Vēršam uzmanību, ka, uzsākot personas datu apstrādi valsts informācijas sistēmā, ir svarīgi noteikt personas datu apstrādes nolūku, kādam šī sistēma radīta. Lai arī Valsts informācijas sistēmu likums tiešā veidā nenosaka, kāda līmeņa tiesību aktā ir regulējami jautājumi, kas skar konkrēto valsts informācijas sistēmu, tomēr šis regulējums ir vērtējams kopsakarā ar datu apstrādes regulējumu. Ņemot vērā to, ka personas datu apstrāde ir personas pamattiesības un tikai likumdevējs var lemt par pamattiesību ierobežojumu, tieši likumā ir nosakāms, ka konkrēta nolūka sasniegšanai tiek veidota valsts informācijas sistēma. Tas ir nepieciešams arī tādēļ, lai vēlāk, likumdevējam to nezinot, apstrādājamo personas datu apjoms valsts informācijas sistēmā netiek palielināts tiktāl, ka tas vairs nekalpo sākotnēji paredzētajam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papildināt likumprojektu ar regulējumu, kas noteiks datu apstrādi valsts informācijas sistēmā, nosakot personas datu apstrādes nolūku un, ja tas nav pietiekami šaurs, arī apstrādājamo personas datu kategorijas/robežas, kā arī ar deleģējumu MK noteikt valsts informācijas sistēmā iekļaujamās informācijas apjomu un tās apstrādes kārtību. Ir svarīgi likumprojektā noteikt, ka valsts informācijas sistēmā tiks apstrādāti personas dati, jo tā kā ir paredzēts apstrādāt bērnu personas datus, kā arī sensitīvos datus (dati par sodāmību, veselību), šo datu apstrāde var radīt augstu risku attiecībā uz personu pamattiesību aizskārumu.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52.</w:t>
            </w:r>
            <w:r w:rsidR="00000000" w:rsidRPr="00000000" w:rsidDel="00000000">
              <w:rPr>
                <w:vertAlign w:val="superscript"/>
                <w:rtl w:val="0"/>
              </w:rPr>
              <w:t xml:space="preserve">1</w:t>
            </w:r>
            <w:r w:rsidR="00000000" w:rsidRPr="00000000" w:rsidDel="00000000">
              <w:rPr>
                <w:rtl w:val="0"/>
              </w:rPr>
              <w:t xml:space="preserve"> panta trešo daļu ar teikumu: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aizsardzības centrs minētos datus apstrādā valsts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atzinuma 1. punktu. Lūdzam papildināt likumprojektu ar regulējumu, kas noteiks datu apstrādi valsts informācijas sistēmā, nosakot personas datu apstrādes nolūku, kā arī ar deleģējumu MK noteikt valsts informācijas sistēmā iekļaujamās informācijas apjomu un tās apstrādes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25-TA-722</w:t>
    </w:r>
    <w:r>
      <w:br/>
    </w:r>
    <w:r w:rsidR="00000000" w:rsidRPr="00000000" w:rsidDel="00000000">
      <w:rPr>
        <w:rtl w:val="0"/>
      </w:rPr>
      <w:t xml:space="preserve">Izdrukāts 04.06.2025. 13.44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25-TA-722</w:t>
    </w:r>
    <w:r>
      <w:br/>
    </w:r>
    <w:r w:rsidR="00000000" w:rsidRPr="00000000" w:rsidDel="00000000">
      <w:rPr>
        <w:rtl w:val="0"/>
      </w:rPr>
      <w:t xml:space="preserve">Izdrukāts 04.06.2025. 13.44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Atzinumi_25-TA-722.docx</dc:title>
</cp:coreProperties>
</file>

<file path=docProps/custom.xml><?xml version="1.0" encoding="utf-8"?>
<Properties xmlns="http://schemas.openxmlformats.org/officeDocument/2006/custom-properties" xmlns:vt="http://schemas.openxmlformats.org/officeDocument/2006/docPropsVTypes"/>
</file>