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Administratīvās atbildības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turpina uzturēt iebildumu attiecībā uz AAL 301. pantu, aicinot ņemt vērā Oficiālās elektroniskās adreses likuma (turpmāk - E-adreses likums) mērķi un nodrošināt personai iespēju paļauties uz iespēju saņemt visu oficiālo korespondenci ar valsts iestādēm vienuviet e-adresē. E-adreses likuma 12.panta otrā daļa nosaka, ja normatīvajos aktos tas paredzēts, valsts iestāde var sazināties elektroniski un elektronisko dokumentu nosūtīt, izmantojot atbilstošu valsts informācijas sistēmu, </w:t>
            </w:r>
            <w:r w:rsidR="00000000" w:rsidRPr="00000000" w:rsidDel="00000000">
              <w:rPr>
                <w:u w:val="single"/>
                <w:rtl w:val="0"/>
              </w:rPr>
              <w:t xml:space="preserve">vienlaikus nodrošinot attiecīgās informācijas vai dokumenta pieejamību oficiālās elektroniskās adreses kontā.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E-adreses likums paredz iespēju noteikt citu dokumentu sūtīšanas kārtību, kas AAL jau ir paredzēta, kā primāro saziņas kanālu izmantojot e-lietas portālu. Tomēr atteikšanās no oficiālās saziņas administratīvā procesa ietvaros dublēšanas e-adresē nozīmētu, ka attiecīgā AAL norma nonāktu pretrunā ar E-adreses likuma mērķi. Aktivizējot e-adresi, privātpersona vienlaikus paziņo savu turpmāko saziņas kanālu - e-adresi - un paļaujas, ka šis būs vienīgais oficiālais rakstveida saziņas kanāls, kuram papildus var tikt izmantoti citi saziņas kanāli, ja persona ir paudusi gribu tos lietot.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Papildus, e-lietas portālā, tāpat kā VID EDS, aicinām nodrošināt iespēju atteikties no dublēšanas e-adresē.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Ingrīda Igaune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paredzēt iespēju lietotājam e-lietas portālā izvēlēties, vai dokuments un informācija nosūtāma arī uz e-adresi.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Bumbiere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304. panta trešajā daļā lūdzam, precizēt, ka lēmumus apliecina ar kvalificētu elektronisko zīmogu.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Bumbiere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19.12.2022. 22.57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19.12.2022. 22.57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