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janvāra noteikumos Nr. 4 "Norvēģijas finanšu instrumenta 2014.–2021. gada perioda programmas "Uzņēmējdarbības attīstība, inovācijas un mazie un vidējie uzņēmumi"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anotācijas 1.6 sadaļā iekļautais skaidrojums. Vēršam uzmanību, ka saskaņā ar Ministru kabineta 2021. gada 7. janvāra noteikumu Nr. 4 “Norvēģijas finanšu instrumenta 2014.–2021. gada perioda programmas “Uzņēmējdarbības attīstība, inovācijas un mazie un vidējie uzņēmumi” īstenošanas noteikumi” (turpmāk – noteikumi Nr. 4) 27.2 apakšpunktu, lēmumu par atbalsta piešķiršanu var pieņemt, ievērojot Komisijas regulas Nr. 651/2014 58. panta 4. punktā un 59. pantā noteikto darbības termiņu, kā arī Eiropas Komisijai ir nosūtīta kopsavilkuma informācija (lietas Nr. SA.103447), kas paredz komercdarbības atbalsta sniegšanu saskaņā Komisijas Regulas Nr. 651/2014 14.pantu, 25.pantu un 28.pantu līdz 2024.gada 30.jūnijam. 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atbalstu šīs programmas ietvaros ir plānots piešķirt pēc Komisijas Regulas Nr. 651/2014 58.panta 4.punktā noteiktā pārejas perioda (6 mēneši) beigām, lai nodrošinātu noteikumu Nr.4 atbilstību 2023.gada 9.marta Eiropas Komisijas apstiprinātajiem grozījumiem Komisijas regulai Nr. 651/2014, noteikumos Nr.4 ir nepieciešams veikt grozījumus saskaņā ar Komisijas regulas 58.panta 5.punktu. Atkārtoti informējam, ka Eiropas Komisija 2023.gada 9.martā ir apstiprinājusi regulas tekstu angļu valodā, un tuvākajās nedēļās pēc tam, kad teksts tiks iztulkots visās oficiālajās ES valodās, akts tiks oficiāli pieņemts. Tas stāsies spēkā nākamajā dienā pēc publicēšanas Eiropas Savienības Oficiālajā Vēstnesī. Komisijas regulas grozījumu teksts ir pieejams šeit: https://competition-policy.ec.europa.eu/document/9a1802e1-cedc-4f87-a1f6-d6759e4d4660_en.;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atbalstu šis programmas ietvaros nav plānots piešķirt pēc Komisijas Regulas Nr. 651/2014 58.panta 4.punktā noteiktā pārejas perioda (6 mēneši) beigām, noteikumos Nr.4 nav nepieciešams veikt grozījumus saskaņā ar Komisijas regulas 58.pantu, bet noteikumos Nr.4 ir skaidri jānorāda termiņš, līdz kuram var pieņemt lēmumu par atbalsta piešķiršanu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1.6. sadaļā ietverto skaidrojumu un atbilstoši precizēt noteikumus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31.</w:t>
            </w:r>
            <w:r w:rsidR="00000000" w:rsidRPr="00000000" w:rsidDel="00000000">
              <w:rPr>
                <w:rtl w:val="0"/>
              </w:rPr>
              <w:t xml:space="preserve"> punktā norādītajām darbībām maksimāli pieļaujamā atbalsta intensitāte no 2022.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atbalstu šis programmas ietvaros netiek plānots piešķirt pēc 2023.gada 31.decembra, tad lūdzam noteikumu Nr.4 27.2. apakšpunktā norādīt precīzu termiņu līdz kuram datumam var pieņemt lēmumu par atbalsta piešķiršanu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atbalstu šis programmas ietvaros tiek plānots piešķirt arī pēc 2023.gada 31.decembra, kad saskaņā ar VARAM 05.04.2023. vēstulē Nr.4-5/1988, kas adresēta arī Ekonomikas ministrijai, minēto stājās spēkā izmaiņas Latvijas statistiskajos reģionos, tad ir nepieciešams precizēt noteikumu Nr.4 30.</w:t>
            </w:r>
            <w:r w:rsidR="00000000" w:rsidRPr="00000000" w:rsidDel="00000000">
              <w:rPr>
                <w:vertAlign w:val="superscript"/>
                <w:rtl w:val="0"/>
              </w:rPr>
              <w:t xml:space="preserve">1</w:t>
            </w:r>
            <w:r w:rsidR="00000000" w:rsidRPr="00000000" w:rsidDel="00000000">
              <w:rPr>
                <w:rtl w:val="0"/>
              </w:rPr>
              <w:t xml:space="preserve"> punkta redakciju, precīzi norādot, ka intensitāšu aprēķinā tiek ņemti vērā Latvijas Republikas statistiskie NUTS 3 līmeņa reģioni saskaņā ar 2021.gada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2021. gada nomenklatūra un attiecīgi iepriekšminētās NUTS robežas un saistītās atbalsta intensitātes paliks spēkā visu reģionālā atbalsta karšu darbības laiku neatkarīgi no jebkādām administratīvajām izmaiņām, kas var notikt NUTS vai pašvaldību līmenī. Attiecīgi NUTS robežas un no tā izrietošās reģionālā atbalsta intensitātes, kādas tās bija dalībvalsts reģionālā atbalsta kartes apstiprināšanas brīdī, būs spēkā līdz 2027. gada 31. decembrim un attiecīgi ir jāņem vērā statistiskais reģions, kas bija pieejams dalībvalstu reģionālā atbalsta karšu pieņemšanas brīdī, t.i. 2021. gada  nomenklatūras 3. līmeņa (NUTS 3. līmenis) klasifikācija. Vienlaikus lūdzam ar atbilstošu informāciju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2021. gada NUTS 3 dati reģionā - 40 % (vidējiem komersantiem) vai 50 % (sīkajiem (mikro) vai mazajiem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Zemgales, Vidzemes un Latgales 2021. gada NUTS 3 datu reģionā - 50 % (vidējiem komersantiem) vai 60 % (sīkajiem (mikro) vai mazajiem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Administratīvām vienībām Limbažu novadā, Ogres novadā, Saulkrastu novadā un Tukuma novadā piemēro 40% vidējiem komersantiem vai 50 % (sīkajiem (mikro) vai mazajiem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1.6. sadaļā ietverto informāciju, ņemot vērā, ka minētās regulas nosaukums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norādītajiem iepriekš noteiktā projekta partneriem ir attiecināmas netiešās attiecināmās izmaksas, kas saistītas ar šo noteikumu </w:t>
            </w:r>
            <w:r w:rsidR="00000000" w:rsidRPr="00000000" w:rsidDel="00000000">
              <w:rPr>
                <w:rtl w:val="0"/>
              </w:rPr>
              <w:t xml:space="preserve">72.3. </w:t>
            </w:r>
            <w:r w:rsidR="00000000" w:rsidRPr="00000000" w:rsidDel="00000000">
              <w:rPr>
                <w:rtl w:val="0"/>
              </w:rPr>
              <w:t xml:space="preserve">apakšpunktā</w:t>
            </w:r>
            <w:r w:rsidR="00000000" w:rsidRPr="00000000" w:rsidDel="00000000">
              <w:rPr>
                <w:rtl w:val="0"/>
              </w:rPr>
              <w:t xml:space="preserve"> norādīto pieredzes apmaiņas pasākumu organizēšanu Latvijā un ārvalstīs gala labuma guvējiem un </w:t>
            </w:r>
            <w:r w:rsidR="00000000" w:rsidRPr="00000000" w:rsidDel="00000000">
              <w:rPr>
                <w:rtl w:val="0"/>
              </w:rPr>
              <w:t xml:space="preserve">72.4. </w:t>
            </w:r>
            <w:r w:rsidR="00000000" w:rsidRPr="00000000" w:rsidDel="00000000">
              <w:rPr>
                <w:rtl w:val="0"/>
              </w:rPr>
              <w:t xml:space="preserve">apakšpunktā</w:t>
            </w:r>
            <w:r w:rsidR="00000000" w:rsidRPr="00000000" w:rsidDel="00000000">
              <w:rPr>
                <w:rtl w:val="0"/>
              </w:rPr>
              <w:t xml:space="preserve"> norādīto atbalstāmo darbību īstenošanu un radušās tiešā saistībā ar tiešajām attiecināmajām izmaksām, kuras ir attiecināmas uz iepriekš noteikto projektu. Iepriekš noteiktā projekta netiešās attiecināmās izmaksas aprēķina kā vienotu likmi 25 procentu apmērā no projekta partnera kopējām tiešajām attiecināmajām izmaksām, neieskaitot ārējo pakalpojumu izmaksas un to pieejamo trešo pušu resursu izmaksas, ko neizmanto līdzfinansējuma saņēmēja vai projekta partnera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 punktā ietverto noteikumu Nr. 4 73.</w:t>
            </w:r>
            <w:r w:rsidR="00000000" w:rsidRPr="00000000" w:rsidDel="00000000">
              <w:rPr>
                <w:vertAlign w:val="superscript"/>
                <w:rtl w:val="0"/>
              </w:rPr>
              <w:t xml:space="preserve">1</w:t>
            </w:r>
            <w:r w:rsidR="00000000" w:rsidRPr="00000000" w:rsidDel="00000000">
              <w:rPr>
                <w:rtl w:val="0"/>
              </w:rPr>
              <w:t xml:space="preserve"> punkta redakciju, aizstājot vārdu "procentu" ar simbolu "%", ņemot vērā minēto noteikumu tekstā piemēroto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23-TA-1305</w:t>
    </w:r>
    <w:r>
      <w:br/>
    </w:r>
    <w:r w:rsidR="00000000" w:rsidRPr="00000000" w:rsidDel="00000000">
      <w:rPr>
        <w:rtl w:val="0"/>
      </w:rPr>
      <w:t xml:space="preserve">Izdrukāts 16.06.2023.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23-TA-1305</w:t>
    </w:r>
    <w:r>
      <w:br/>
    </w:r>
    <w:r w:rsidR="00000000" w:rsidRPr="00000000" w:rsidDel="00000000">
      <w:rPr>
        <w:rtl w:val="0"/>
      </w:rPr>
      <w:t xml:space="preserve">Izdrukāts 16.06.2023.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Atzinumi_23-TA-1305.docx</dc:title>
</cp:coreProperties>
</file>

<file path=docProps/custom.xml><?xml version="1.0" encoding="utf-8"?>
<Properties xmlns="http://schemas.openxmlformats.org/officeDocument/2006/custom-properties" xmlns:vt="http://schemas.openxmlformats.org/officeDocument/2006/docPropsVTypes"/>
</file>