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Neatbilstību konstatēšanas un neatbilstoši veikto izdevumu atgūšanas kārtība Eiropas Savienības fondu ieviešanā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Vadošā iestāde, revīzijas iestāde, atbildīgā iestāde un sadarbības iestāde izvērtē katru iespējamo neatbilstību.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Noteikumu projekta 4.punktā ietvertais regulējums pēc būtības paplašina/ detalizē potenciālo pienākumu saturu iestādēm, ņemot vērā, ka 2014.-2020. gada plānošanas perioda to pašu kārtību regulējošajos noteikumos attiecīgajā tiesību normā ir ietverts atšķirīgs formulējums ("Vadošā iestāde, revīzijas iestāde, sertifikācijas iestāde, atbildīgā iestāde un sadarbības iestāde izvērtē katru tās </w:t>
            </w:r>
            <w:r w:rsidR="00000000" w:rsidRPr="00000000" w:rsidDel="00000000">
              <w:rPr>
                <w:b w:val="1"/>
                <w:rtl w:val="0"/>
              </w:rPr>
              <w:t xml:space="preserve">konstatēto </w:t>
            </w:r>
            <w:r w:rsidR="00000000" w:rsidRPr="00000000" w:rsidDel="00000000">
              <w:rPr>
                <w:rtl w:val="0"/>
              </w:rPr>
              <w:t xml:space="preserve">iespējamo neatbilstību.").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Sadarbības iestāde, ņemot vērā tās rīcībā esošo informāciju par projektā konstatēto iespējamo neatbilstību, izvērtē iespējamo neatbilstību, tās smagumu, veidu un radīto zaudējumu apmēru un pieņem lēmumu par neatbilstības konstatēšanu, nodrošinot attiecīgās informācijas par konstatēto neatbilstību ievadi Kohēzijas politikas fondu vadības informācijas sistēmā (turpmāk – vadības informācijas sistēma). Sadarbības iestāde finanšu korekciju piemēro saskaņā ar vadošās iestādes izstrādātajām vadlīnijām par finanšu korekciju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vadlīnijas par finanšu korekciju piemērošanu 2021.-2027.gada plānošanas periodam vēl nav izstrādātas, lūdzu precizēt, saskaņā ar kurām vadošās iestādes izstrādātajām vadlīnijām tiek piemērota finanšu korekcija.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Ķēniņa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drukas kļūdu Regulas Nr. 2021/1060 nosaukumā (anotācijā kļūdaini norādīts Nr. 2021/2060).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Ķēniņa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30.05.2023. 08.42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30.05.2023. 08.42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Atzinumi_23-TA-937.docx</dc:title>
</cp:coreProperties>
</file>

<file path=docProps/custom.xml><?xml version="1.0" encoding="utf-8"?>
<Properties xmlns="http://schemas.openxmlformats.org/officeDocument/2006/custom-properties" xmlns:vt="http://schemas.openxmlformats.org/officeDocument/2006/docPropsVTypes"/>
</file>