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42. panta pirmajā daļā paredzēto grozījumu Elektroenerģijas tirgus likuma 47. panta pirmajā daļā. Vēršam uzmanību uz to, ka Elektroenerģijas tirgus likuma 47. panta pirmā daļa paredz, ka regulatoram ir tiesības izdot nelabvēlīgu administratīvo aktu. Saskaņā ar Administratīvā procesa likuma 11. pantā paredzēto privātpersonai nelabvēlīgu administratīvo aktu izdot var uz Latvijas Republikas Satversmes, likuma, kā arī starptautisko tiesību normas pamata, īpašos gadījumos arī uz Ministru kabineta noteikumu pamata. Ievērojot minēto, ne visi tiesību akti var būt pamats nelabvēlīgam administratīvajam aktam.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iekļaut vispārīgu informāciju par to, kādu ekonomisko ietekmi likumprojekts radīs uz gala lietotājiem - fiziskajām personām. Šobrīd anotācija papildināta vien ar to, ka: "Lai arī pirmšķietami tas varētu radīt papildu izmaksas elektroenerģijas galalietotājiem tās ir būtiskas gan no energoapgādes drošuma, gan ekonomiskā pamatojuma viedokļa, jo ļauj sistēmai strādāt elastīgāk." Proti, no minētā nav saprotama likumprojekta ekonomiskā ietekme uz gala lietotāju.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27.12.2023.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27.12.2023.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