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bezskaidras naudas norēķinu veidā pārskaita uz atbalsta saņēmēja vai viņa pilnvarota pārstāvja maksājumu kontu, kas atvērts pie maksājumu pakalpojumu sniedzēja saskaņā ar Maksājumu pakalpojumu un elektroniskās naudas likuma 2. panta otrās daļas 1., 2., 4., 7. un 8. punktu, vai valsts budžeta ieņēmumos, ja atbalsta saņēmējs ir valsts budžeta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(grozījumu) projekta 2. punktā ietvertajā Ministru kabineta noteikumu Nr. 319 20. punktā un attiecīgajā anotācijas 1.3. sadaļas risinājuma aprakstā izslēgt vārdus "bezskaidras naudas norēķinu veidā" un precizēt tekstu par atsauci uz Maksājumu pakalpojumu un elektroniskās naudas likumu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pārskaita uz atbalsta saņēmēja vai viņa pilnvarota pārstāvja maksājumu kontu, kas </w:t>
            </w:r>
            <w:r w:rsidR="00000000" w:rsidRPr="00000000" w:rsidDel="00000000">
              <w:rPr>
                <w:u w:val="single"/>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 vai valsts budžeta ieņēmumos, ja atbalsta saņēmējs ir valsts budžeta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06.02.2025.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06.02.2025.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