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Krievu mācībvalodas skolu atbalsta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6. punktu ar teikumu kā pirmo.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noteikumu anotācijā, Latvijas Republikai ir starptautiskās saistības mazākumtautībām piederīgo izglītojamo dzimtās valodas un kultūrvēstures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pildīt Eiropas Padomes Vispārējās konvencijas par nacionālo minoritāšu aizsardzību prasības, t.sk., konvencijas 14. panta otro daļu, kas nosaka, ka “izglītības sistēmu ietvaros Puses apņemas, ja ir pietiekams pieprasījums, nodrošināt savu iespēju robežās, ka personām, kuras pieder pie nacionālajām minoritātēm, ir pienācīgas iespējas apgūt minoritātes valodu vai iegūt izglītību šajā valodā tajā teritorijā, kuru vēsturiski vai lielā skaitā apdzīvo nacionālo minoritāšu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nodrošināt atbalstu mazākumtautību valodas un kultūrvēstures apguvei, valstij ir jāapzina, vai ir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izglītības iestādēs veiktajās aptaujās savlaicīgi apzina programmā izglītojamo skaitu administratīvajā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Pimenovs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27.07.2023.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27.07.2023.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Atzinumi_22-TA-3824.docx</dc:title>
</cp:coreProperties>
</file>

<file path=docProps/custom.xml><?xml version="1.0" encoding="utf-8"?>
<Properties xmlns="http://schemas.openxmlformats.org/officeDocument/2006/custom-properties" xmlns:vt="http://schemas.openxmlformats.org/officeDocument/2006/docPropsVTypes"/>
</file>